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3B3101" w14:paraId="4B9A394E" w14:textId="77777777"/>
    <w:tbl>
      <w:tblPr>
        <w:tblStyle w:val="TableGrid"/>
        <w:tblW w:w="14459" w:type="dxa"/>
        <w:tblInd w:w="-5" w:type="dxa"/>
        <w:tblLook w:val="04A0"/>
      </w:tblPr>
      <w:tblGrid>
        <w:gridCol w:w="2977"/>
        <w:gridCol w:w="992"/>
        <w:gridCol w:w="10490"/>
      </w:tblGrid>
      <w:tr w14:paraId="4B9A3951" w14:textId="77777777" w:rsidTr="00C369F4">
        <w:tblPrEx>
          <w:tblW w:w="14459" w:type="dxa"/>
          <w:tblInd w:w="-5" w:type="dxa"/>
          <w:tblLook w:val="04A0"/>
        </w:tblPrEx>
        <w:tc>
          <w:tcPr>
            <w:tcW w:w="14459" w:type="dxa"/>
            <w:gridSpan w:val="3"/>
          </w:tcPr>
          <w:p w:rsidR="00637F9D" w:rsidRPr="00A716D5" w:rsidP="00637F9D" w14:paraId="4B9A394F" w14:textId="77777777">
            <w:pPr>
              <w:rPr>
                <w:rFonts w:ascii="Arial" w:hAnsi="Arial" w:cs="Arial"/>
                <w:b/>
                <w:bCs/>
                <w:sz w:val="28"/>
                <w:szCs w:val="28"/>
                <w:lang w:val="en-US"/>
              </w:rPr>
            </w:pPr>
            <w:r w:rsidRPr="00A716D5">
              <w:rPr>
                <w:rFonts w:ascii="Arial" w:hAnsi="Arial" w:cs="Arial"/>
                <w:b/>
                <w:bCs/>
                <w:sz w:val="28"/>
                <w:szCs w:val="28"/>
                <w:lang w:val="en-US"/>
              </w:rPr>
              <w:t xml:space="preserve">Property and </w:t>
            </w:r>
            <w:r w:rsidRPr="00A716D5" w:rsidR="00FE390F">
              <w:rPr>
                <w:rFonts w:ascii="Arial" w:hAnsi="Arial" w:cs="Arial"/>
                <w:b/>
                <w:bCs/>
                <w:sz w:val="28"/>
                <w:szCs w:val="28"/>
                <w:lang w:val="en-US"/>
              </w:rPr>
              <w:t>Assets</w:t>
            </w:r>
          </w:p>
          <w:p w:rsidR="00637F9D" w:rsidP="00637F9D" w14:paraId="4B9A3950" w14:textId="77777777">
            <w:pPr>
              <w:rPr>
                <w:rFonts w:ascii="Arial" w:hAnsi="Arial" w:cs="Arial"/>
                <w:b/>
                <w:bCs/>
                <w:lang w:val="en-US"/>
              </w:rPr>
            </w:pPr>
          </w:p>
        </w:tc>
      </w:tr>
      <w:tr w14:paraId="4B9A3955" w14:textId="77777777" w:rsidTr="00C369F4">
        <w:tblPrEx>
          <w:tblW w:w="14459" w:type="dxa"/>
          <w:tblInd w:w="-5" w:type="dxa"/>
          <w:tblLook w:val="04A0"/>
        </w:tblPrEx>
        <w:tc>
          <w:tcPr>
            <w:tcW w:w="2977" w:type="dxa"/>
          </w:tcPr>
          <w:p w:rsidR="00637F9D" w:rsidP="00C369F4" w14:paraId="4B9A3952" w14:textId="77777777">
            <w:pPr>
              <w:jc w:val="center"/>
              <w:rPr>
                <w:rFonts w:ascii="Arial" w:hAnsi="Arial" w:cs="Arial"/>
                <w:b/>
                <w:bCs/>
                <w:lang w:val="en-US"/>
              </w:rPr>
            </w:pPr>
            <w:r>
              <w:rPr>
                <w:rFonts w:ascii="Arial" w:hAnsi="Arial" w:cs="Arial"/>
                <w:b/>
                <w:bCs/>
                <w:lang w:val="en-US"/>
              </w:rPr>
              <w:t>Criteria</w:t>
            </w:r>
          </w:p>
        </w:tc>
        <w:tc>
          <w:tcPr>
            <w:tcW w:w="992" w:type="dxa"/>
          </w:tcPr>
          <w:p w:rsidR="00637F9D" w:rsidP="00C369F4" w14:paraId="4B9A3953" w14:textId="77777777">
            <w:pPr>
              <w:jc w:val="center"/>
              <w:rPr>
                <w:rFonts w:ascii="Arial" w:hAnsi="Arial" w:cs="Arial"/>
                <w:b/>
                <w:bCs/>
                <w:lang w:val="en-US"/>
              </w:rPr>
            </w:pPr>
            <w:r>
              <w:rPr>
                <w:rFonts w:ascii="Arial" w:hAnsi="Arial" w:cs="Arial"/>
                <w:b/>
                <w:bCs/>
                <w:lang w:val="en-US"/>
              </w:rPr>
              <w:t>Yes/ No/ NA</w:t>
            </w:r>
          </w:p>
        </w:tc>
        <w:tc>
          <w:tcPr>
            <w:tcW w:w="10490" w:type="dxa"/>
          </w:tcPr>
          <w:p w:rsidR="00637F9D" w:rsidP="00C369F4" w14:paraId="4B9A3954" w14:textId="77777777">
            <w:pPr>
              <w:jc w:val="center"/>
              <w:rPr>
                <w:rFonts w:ascii="Arial" w:hAnsi="Arial" w:cs="Arial"/>
                <w:b/>
                <w:bCs/>
                <w:lang w:val="en-US"/>
              </w:rPr>
            </w:pPr>
            <w:r>
              <w:rPr>
                <w:rFonts w:ascii="Arial" w:hAnsi="Arial" w:cs="Arial"/>
                <w:b/>
                <w:bCs/>
                <w:lang w:val="en-US"/>
              </w:rPr>
              <w:t>Evidence</w:t>
            </w:r>
          </w:p>
        </w:tc>
      </w:tr>
      <w:tr w14:paraId="4B9A3957" w14:textId="77777777" w:rsidTr="00FE390F">
        <w:tblPrEx>
          <w:tblW w:w="14459" w:type="dxa"/>
          <w:tblInd w:w="-5" w:type="dxa"/>
          <w:tblLook w:val="04A0"/>
        </w:tblPrEx>
        <w:tc>
          <w:tcPr>
            <w:tcW w:w="14459" w:type="dxa"/>
            <w:gridSpan w:val="3"/>
            <w:shd w:val="clear" w:color="auto" w:fill="44546A" w:themeFill="text2"/>
          </w:tcPr>
          <w:p w:rsidR="00637F9D" w:rsidP="00C369F4" w14:paraId="4B9A3956" w14:textId="77777777">
            <w:pPr>
              <w:rPr>
                <w:rFonts w:ascii="Arial" w:hAnsi="Arial" w:cs="Arial"/>
                <w:b/>
                <w:bCs/>
                <w:color w:val="FFFFFF" w:themeColor="background1"/>
                <w:lang w:val="en-US"/>
              </w:rPr>
            </w:pPr>
            <w:r>
              <w:rPr>
                <w:rFonts w:ascii="Arial" w:hAnsi="Arial" w:cs="Arial"/>
                <w:b/>
                <w:bCs/>
                <w:color w:val="FFFFFF" w:themeColor="background1"/>
                <w:lang w:val="en-US"/>
              </w:rPr>
              <w:t xml:space="preserve">Must have </w:t>
            </w:r>
          </w:p>
        </w:tc>
      </w:tr>
      <w:tr w14:paraId="4B9A395B" w14:textId="77777777" w:rsidTr="00C369F4">
        <w:tblPrEx>
          <w:tblW w:w="14459" w:type="dxa"/>
          <w:tblInd w:w="-5" w:type="dxa"/>
          <w:tblLook w:val="04A0"/>
        </w:tblPrEx>
        <w:tc>
          <w:tcPr>
            <w:tcW w:w="2977" w:type="dxa"/>
          </w:tcPr>
          <w:p w:rsidR="00637F9D" w:rsidRPr="00347F4B" w:rsidP="00C369F4" w14:paraId="4B9A3958" w14:textId="77777777">
            <w:pPr>
              <w:rPr>
                <w:rFonts w:ascii="Arial" w:hAnsi="Arial" w:cs="Arial"/>
                <w:b/>
                <w:bCs/>
                <w:lang w:val="en-US"/>
              </w:rPr>
            </w:pPr>
            <w:r>
              <w:rPr>
                <w:rFonts w:ascii="Arial" w:hAnsi="Arial" w:cs="Arial"/>
                <w:lang w:val="en-US"/>
              </w:rPr>
              <w:t>Sharing the function will allow the councils to continue to deliver their sovereign priorities</w:t>
            </w:r>
          </w:p>
        </w:tc>
        <w:tc>
          <w:tcPr>
            <w:tcW w:w="992" w:type="dxa"/>
          </w:tcPr>
          <w:p w:rsidR="00637F9D" w:rsidP="00C369F4" w14:paraId="4B9A3959" w14:textId="77777777">
            <w:pPr>
              <w:rPr>
                <w:rFonts w:ascii="Arial" w:hAnsi="Arial" w:cs="Arial"/>
                <w:b/>
                <w:bCs/>
                <w:lang w:val="en-US"/>
              </w:rPr>
            </w:pPr>
            <w:r>
              <w:rPr>
                <w:rFonts w:ascii="Arial" w:hAnsi="Arial" w:cs="Arial"/>
                <w:b/>
                <w:bCs/>
                <w:lang w:val="en-US"/>
              </w:rPr>
              <w:t>Y</w:t>
            </w:r>
          </w:p>
        </w:tc>
        <w:tc>
          <w:tcPr>
            <w:tcW w:w="10490" w:type="dxa"/>
          </w:tcPr>
          <w:p w:rsidR="00637F9D" w:rsidRPr="00637F9D" w:rsidP="00637F9D" w14:paraId="4B9A395A" w14:textId="77777777">
            <w:pPr>
              <w:rPr>
                <w:rFonts w:ascii="Arial" w:hAnsi="Arial" w:cs="Arial"/>
                <w:lang w:val="en-US"/>
              </w:rPr>
            </w:pPr>
            <w:r w:rsidRPr="00637F9D">
              <w:rPr>
                <w:rFonts w:ascii="Arial" w:hAnsi="Arial" w:cs="Arial"/>
                <w:lang w:val="en-US"/>
              </w:rPr>
              <w:t xml:space="preserve">Both councils have a similar range of property and assets and face similar challenges including expanding responsibilities with the opening of new sites such as the extra care facilities. </w:t>
            </w:r>
          </w:p>
        </w:tc>
      </w:tr>
      <w:tr w14:paraId="4B9A3963" w14:textId="77777777" w:rsidTr="00C369F4">
        <w:tblPrEx>
          <w:tblW w:w="14459" w:type="dxa"/>
          <w:tblInd w:w="-5" w:type="dxa"/>
          <w:tblLook w:val="04A0"/>
        </w:tblPrEx>
        <w:tc>
          <w:tcPr>
            <w:tcW w:w="2977" w:type="dxa"/>
          </w:tcPr>
          <w:p w:rsidR="00637F9D" w:rsidP="00C369F4" w14:paraId="4B9A395C" w14:textId="77777777">
            <w:pPr>
              <w:rPr>
                <w:rFonts w:ascii="Arial" w:hAnsi="Arial" w:cs="Arial"/>
                <w:lang w:val="en-US"/>
              </w:rPr>
            </w:pPr>
            <w:r>
              <w:rPr>
                <w:rFonts w:ascii="Arial" w:hAnsi="Arial" w:cs="Arial"/>
                <w:lang w:val="en-US"/>
              </w:rPr>
              <w:t>A single, shared model is possible for this function</w:t>
            </w:r>
          </w:p>
          <w:p w:rsidR="00637F9D" w:rsidP="00C369F4" w14:paraId="4B9A395D" w14:textId="77777777">
            <w:pPr>
              <w:rPr>
                <w:rFonts w:ascii="Arial" w:hAnsi="Arial" w:cs="Arial"/>
                <w:lang w:val="en-US"/>
              </w:rPr>
            </w:pPr>
          </w:p>
        </w:tc>
        <w:tc>
          <w:tcPr>
            <w:tcW w:w="992" w:type="dxa"/>
          </w:tcPr>
          <w:p w:rsidR="00637F9D" w:rsidP="00C369F4" w14:paraId="4B9A395E" w14:textId="77777777">
            <w:pPr>
              <w:rPr>
                <w:rFonts w:ascii="Arial" w:hAnsi="Arial" w:cs="Arial"/>
                <w:b/>
                <w:bCs/>
                <w:lang w:val="en-US"/>
              </w:rPr>
            </w:pPr>
            <w:r>
              <w:rPr>
                <w:rFonts w:ascii="Arial" w:hAnsi="Arial" w:cs="Arial"/>
                <w:b/>
                <w:bCs/>
                <w:lang w:val="en-US"/>
              </w:rPr>
              <w:t>Y</w:t>
            </w:r>
          </w:p>
        </w:tc>
        <w:tc>
          <w:tcPr>
            <w:tcW w:w="10490" w:type="dxa"/>
          </w:tcPr>
          <w:p w:rsidR="00637F9D" w:rsidP="00C369F4" w14:paraId="4B9A395F" w14:textId="77777777">
            <w:pPr>
              <w:rPr>
                <w:rFonts w:ascii="Arial" w:hAnsi="Arial" w:cs="Arial"/>
                <w:lang w:val="en-US"/>
              </w:rPr>
            </w:pPr>
            <w:r w:rsidRPr="00637F9D">
              <w:rPr>
                <w:rFonts w:ascii="Arial" w:hAnsi="Arial" w:cs="Arial"/>
                <w:lang w:val="en-US"/>
              </w:rPr>
              <w:t xml:space="preserve">There is an opportunity to shared specialist skills and experience across the function as part of a single operating mode. There are opportunities to standardise and align business processes and systems such as Property Management software. </w:t>
            </w:r>
          </w:p>
          <w:p w:rsidR="00740248" w:rsidP="00C369F4" w14:paraId="4B9A3960" w14:textId="77777777">
            <w:pPr>
              <w:rPr>
                <w:rFonts w:ascii="Arial" w:hAnsi="Arial" w:cs="Arial"/>
                <w:lang w:val="en-US"/>
              </w:rPr>
            </w:pPr>
          </w:p>
          <w:p w:rsidR="00740248" w:rsidRPr="00637F9D" w:rsidP="00C369F4" w14:paraId="4B9A3961" w14:textId="77777777">
            <w:pPr>
              <w:rPr>
                <w:rFonts w:ascii="Arial" w:hAnsi="Arial" w:cs="Arial"/>
                <w:lang w:val="en-US"/>
              </w:rPr>
            </w:pPr>
            <w:r>
              <w:rPr>
                <w:rFonts w:ascii="Arial" w:hAnsi="Arial" w:cs="Arial"/>
                <w:lang w:val="en-US"/>
              </w:rPr>
              <w:t>The South Ribble function currently includes the facilities team, whereas the similar Civics services at Chorley sits within the Governance service and is aligned to mayoral</w:t>
            </w:r>
            <w:r w:rsidR="00171CF4">
              <w:rPr>
                <w:rFonts w:ascii="Arial" w:hAnsi="Arial" w:cs="Arial"/>
                <w:lang w:val="en-US"/>
              </w:rPr>
              <w:t xml:space="preserve"> functions. </w:t>
            </w:r>
          </w:p>
          <w:p w:rsidR="00637F9D" w:rsidRPr="00637F9D" w:rsidP="00C369F4" w14:paraId="4B9A3962" w14:textId="77777777">
            <w:pPr>
              <w:rPr>
                <w:rFonts w:ascii="Arial" w:hAnsi="Arial" w:cs="Arial"/>
                <w:lang w:val="en-US"/>
              </w:rPr>
            </w:pPr>
          </w:p>
        </w:tc>
      </w:tr>
      <w:tr w14:paraId="4B9A3968" w14:textId="77777777" w:rsidTr="00C369F4">
        <w:tblPrEx>
          <w:tblW w:w="14459" w:type="dxa"/>
          <w:tblInd w:w="-5" w:type="dxa"/>
          <w:tblLook w:val="04A0"/>
        </w:tblPrEx>
        <w:tc>
          <w:tcPr>
            <w:tcW w:w="2977" w:type="dxa"/>
          </w:tcPr>
          <w:p w:rsidR="00637F9D" w:rsidRPr="00347F4B" w:rsidP="00C369F4" w14:paraId="4B9A3964" w14:textId="77777777">
            <w:pPr>
              <w:rPr>
                <w:rFonts w:ascii="Arial" w:hAnsi="Arial" w:cs="Arial"/>
                <w:lang w:val="en-US"/>
              </w:rPr>
            </w:pPr>
            <w:r>
              <w:rPr>
                <w:rFonts w:ascii="Arial" w:hAnsi="Arial" w:cs="Arial"/>
                <w:lang w:val="en-US"/>
              </w:rPr>
              <w:t>There is a common need across both councils for this function/area.</w:t>
            </w:r>
          </w:p>
        </w:tc>
        <w:tc>
          <w:tcPr>
            <w:tcW w:w="992" w:type="dxa"/>
          </w:tcPr>
          <w:p w:rsidR="00637F9D" w:rsidP="00C369F4" w14:paraId="4B9A3965" w14:textId="77777777">
            <w:pPr>
              <w:rPr>
                <w:rFonts w:ascii="Arial" w:hAnsi="Arial" w:cs="Arial"/>
                <w:b/>
                <w:bCs/>
                <w:lang w:val="en-US"/>
              </w:rPr>
            </w:pPr>
            <w:r>
              <w:rPr>
                <w:rFonts w:ascii="Arial" w:hAnsi="Arial" w:cs="Arial"/>
                <w:b/>
                <w:bCs/>
                <w:lang w:val="en-US"/>
              </w:rPr>
              <w:t>Y</w:t>
            </w:r>
          </w:p>
        </w:tc>
        <w:tc>
          <w:tcPr>
            <w:tcW w:w="10490" w:type="dxa"/>
          </w:tcPr>
          <w:p w:rsidR="00637F9D" w:rsidRPr="00637F9D" w:rsidP="00C369F4" w14:paraId="4B9A3966" w14:textId="77777777">
            <w:pPr>
              <w:rPr>
                <w:rFonts w:ascii="Arial" w:hAnsi="Arial" w:cs="Arial"/>
                <w:lang w:val="en-US"/>
              </w:rPr>
            </w:pPr>
            <w:r w:rsidRPr="00637F9D">
              <w:rPr>
                <w:rFonts w:ascii="Arial" w:hAnsi="Arial" w:cs="Arial"/>
                <w:lang w:val="en-US"/>
              </w:rPr>
              <w:t xml:space="preserve">Both councils have a range of property and assets which need to be managed including main operational sites and those that are rented to others. </w:t>
            </w:r>
          </w:p>
          <w:p w:rsidR="00637F9D" w:rsidRPr="00637F9D" w:rsidP="00C369F4" w14:paraId="4B9A3967" w14:textId="77777777">
            <w:pPr>
              <w:rPr>
                <w:rFonts w:ascii="Arial" w:hAnsi="Arial" w:cs="Arial"/>
                <w:lang w:val="en-US"/>
              </w:rPr>
            </w:pPr>
          </w:p>
        </w:tc>
      </w:tr>
      <w:tr w14:paraId="4B9A396A" w14:textId="77777777" w:rsidTr="00FE390F">
        <w:tblPrEx>
          <w:tblW w:w="14459" w:type="dxa"/>
          <w:tblInd w:w="-5" w:type="dxa"/>
          <w:tblLook w:val="04A0"/>
        </w:tblPrEx>
        <w:tc>
          <w:tcPr>
            <w:tcW w:w="14459" w:type="dxa"/>
            <w:gridSpan w:val="3"/>
            <w:shd w:val="clear" w:color="auto" w:fill="44546A" w:themeFill="text2"/>
          </w:tcPr>
          <w:p w:rsidR="00637F9D" w:rsidP="00C369F4" w14:paraId="4B9A3969" w14:textId="77777777">
            <w:pPr>
              <w:rPr>
                <w:rFonts w:ascii="Arial" w:hAnsi="Arial" w:cs="Arial"/>
                <w:b/>
                <w:bCs/>
                <w:color w:val="FFFFFF" w:themeColor="background1"/>
                <w:lang w:val="en-US"/>
              </w:rPr>
            </w:pPr>
            <w:r>
              <w:rPr>
                <w:rFonts w:ascii="Arial" w:hAnsi="Arial" w:cs="Arial"/>
                <w:b/>
                <w:bCs/>
                <w:color w:val="FFFFFF" w:themeColor="background1"/>
                <w:lang w:val="en-US"/>
              </w:rPr>
              <w:t xml:space="preserve">Opportunities for sharing </w:t>
            </w:r>
          </w:p>
        </w:tc>
      </w:tr>
      <w:tr w14:paraId="4B9A396F" w14:textId="77777777" w:rsidTr="00C369F4">
        <w:tblPrEx>
          <w:tblW w:w="14459" w:type="dxa"/>
          <w:tblInd w:w="-5" w:type="dxa"/>
          <w:tblLook w:val="04A0"/>
        </w:tblPrEx>
        <w:tc>
          <w:tcPr>
            <w:tcW w:w="2977" w:type="dxa"/>
          </w:tcPr>
          <w:p w:rsidR="00637F9D" w:rsidP="00C369F4" w14:paraId="4B9A396B" w14:textId="77777777">
            <w:pPr>
              <w:rPr>
                <w:rFonts w:ascii="Arial" w:hAnsi="Arial" w:cs="Arial"/>
                <w:lang w:val="en-US"/>
              </w:rPr>
            </w:pPr>
            <w:r>
              <w:rPr>
                <w:rFonts w:ascii="Arial" w:hAnsi="Arial" w:cs="Arial"/>
                <w:lang w:val="en-US"/>
              </w:rPr>
              <w:t>Temporary, or informal, sharing arrangements already exist</w:t>
            </w:r>
          </w:p>
          <w:p w:rsidR="00637F9D" w:rsidP="00C369F4" w14:paraId="4B9A396C" w14:textId="77777777">
            <w:pPr>
              <w:rPr>
                <w:rFonts w:ascii="Arial" w:hAnsi="Arial" w:cs="Arial"/>
                <w:lang w:val="en-US"/>
              </w:rPr>
            </w:pPr>
          </w:p>
        </w:tc>
        <w:tc>
          <w:tcPr>
            <w:tcW w:w="992" w:type="dxa"/>
          </w:tcPr>
          <w:p w:rsidR="00637F9D" w:rsidP="00C369F4" w14:paraId="4B9A396D" w14:textId="77777777">
            <w:pPr>
              <w:rPr>
                <w:rFonts w:ascii="Arial" w:hAnsi="Arial" w:cs="Arial"/>
                <w:b/>
                <w:bCs/>
                <w:lang w:val="en-US"/>
              </w:rPr>
            </w:pPr>
            <w:r>
              <w:rPr>
                <w:rFonts w:ascii="Arial" w:hAnsi="Arial" w:cs="Arial"/>
                <w:b/>
                <w:bCs/>
                <w:lang w:val="en-US"/>
              </w:rPr>
              <w:t>Y</w:t>
            </w:r>
          </w:p>
        </w:tc>
        <w:tc>
          <w:tcPr>
            <w:tcW w:w="10490" w:type="dxa"/>
          </w:tcPr>
          <w:p w:rsidR="00637F9D" w:rsidRPr="003A179E" w:rsidP="00780D3B" w14:paraId="4B9A396E" w14:textId="77777777">
            <w:pPr>
              <w:rPr>
                <w:rFonts w:ascii="Arial" w:hAnsi="Arial" w:cs="Arial"/>
                <w:b/>
                <w:bCs/>
                <w:i/>
                <w:iCs/>
                <w:lang w:val="en-US"/>
              </w:rPr>
            </w:pPr>
            <w:r w:rsidRPr="00637F9D">
              <w:rPr>
                <w:rFonts w:ascii="Arial" w:hAnsi="Arial" w:cs="Arial"/>
                <w:lang w:val="en-US"/>
              </w:rPr>
              <w:t xml:space="preserve">There are </w:t>
            </w:r>
            <w:r w:rsidR="00D257B3">
              <w:rPr>
                <w:rFonts w:ascii="Arial" w:hAnsi="Arial" w:cs="Arial"/>
                <w:lang w:val="en-US"/>
              </w:rPr>
              <w:t>some temporary and informal sharing arrangements in the teams around leisure</w:t>
            </w:r>
            <w:r w:rsidR="00780D3B">
              <w:rPr>
                <w:rFonts w:ascii="Arial" w:hAnsi="Arial" w:cs="Arial"/>
                <w:lang w:val="en-US"/>
              </w:rPr>
              <w:t xml:space="preserve">. </w:t>
            </w:r>
          </w:p>
        </w:tc>
      </w:tr>
      <w:tr w14:paraId="4B9A3974" w14:textId="77777777" w:rsidTr="00C369F4">
        <w:tblPrEx>
          <w:tblW w:w="14459" w:type="dxa"/>
          <w:tblInd w:w="-5" w:type="dxa"/>
          <w:tblLook w:val="04A0"/>
        </w:tblPrEx>
        <w:tc>
          <w:tcPr>
            <w:tcW w:w="2977" w:type="dxa"/>
          </w:tcPr>
          <w:p w:rsidR="00637F9D" w:rsidP="00C369F4" w14:paraId="4B9A3970" w14:textId="77777777">
            <w:pPr>
              <w:rPr>
                <w:rFonts w:ascii="Arial" w:hAnsi="Arial" w:cs="Arial"/>
                <w:lang w:val="en-US"/>
              </w:rPr>
            </w:pPr>
            <w:r>
              <w:rPr>
                <w:rFonts w:ascii="Arial" w:hAnsi="Arial" w:cs="Arial"/>
                <w:lang w:val="en-US"/>
              </w:rPr>
              <w:t xml:space="preserve">Capacity within the service can be reviewed to improve service resilience or produce financial savings </w:t>
            </w:r>
          </w:p>
        </w:tc>
        <w:tc>
          <w:tcPr>
            <w:tcW w:w="992" w:type="dxa"/>
          </w:tcPr>
          <w:p w:rsidR="00637F9D" w:rsidP="00C369F4" w14:paraId="4B9A3971" w14:textId="77777777">
            <w:pPr>
              <w:rPr>
                <w:rFonts w:ascii="Arial" w:hAnsi="Arial" w:cs="Arial"/>
                <w:b/>
                <w:bCs/>
                <w:lang w:val="en-US"/>
              </w:rPr>
            </w:pPr>
            <w:r>
              <w:rPr>
                <w:rFonts w:ascii="Arial" w:hAnsi="Arial" w:cs="Arial"/>
                <w:b/>
                <w:bCs/>
                <w:lang w:val="en-US"/>
              </w:rPr>
              <w:t>Y</w:t>
            </w:r>
          </w:p>
        </w:tc>
        <w:tc>
          <w:tcPr>
            <w:tcW w:w="10490" w:type="dxa"/>
          </w:tcPr>
          <w:p w:rsidR="00637F9D" w:rsidP="00866938" w14:paraId="4B9A3972" w14:textId="77777777">
            <w:pPr>
              <w:rPr>
                <w:rFonts w:ascii="Arial" w:hAnsi="Arial" w:cs="Arial"/>
                <w:lang w:val="en-US"/>
              </w:rPr>
            </w:pPr>
            <w:r w:rsidRPr="00866938">
              <w:rPr>
                <w:rFonts w:ascii="Arial" w:hAnsi="Arial" w:cs="Arial"/>
                <w:lang w:val="en-US"/>
              </w:rPr>
              <w:t xml:space="preserve">There are currently market challenges which impact on the resilience of the service. Sharing the service could provide a larger team with greater flexibility to provide capacity across the councils. The exception to this is within the Facilities team (and Civics function which sits within Governance at Chorley) where specific on-site capacity is required with limited flexibility for sharing.  </w:t>
            </w:r>
          </w:p>
          <w:p w:rsidR="00740248" w:rsidRPr="00866938" w:rsidP="00866938" w14:paraId="4B9A3973" w14:textId="77777777">
            <w:pPr>
              <w:rPr>
                <w:rFonts w:ascii="Arial" w:hAnsi="Arial" w:cs="Arial"/>
                <w:lang w:val="en-US"/>
              </w:rPr>
            </w:pPr>
          </w:p>
        </w:tc>
      </w:tr>
      <w:tr w14:paraId="4B9A397A" w14:textId="77777777" w:rsidTr="00C369F4">
        <w:tblPrEx>
          <w:tblW w:w="14459" w:type="dxa"/>
          <w:tblInd w:w="-5" w:type="dxa"/>
          <w:tblLook w:val="04A0"/>
        </w:tblPrEx>
        <w:tc>
          <w:tcPr>
            <w:tcW w:w="2977" w:type="dxa"/>
          </w:tcPr>
          <w:p w:rsidR="00637F9D" w:rsidP="00C369F4" w14:paraId="4B9A3975" w14:textId="77777777">
            <w:pPr>
              <w:rPr>
                <w:rFonts w:ascii="Arial" w:hAnsi="Arial" w:cs="Arial"/>
                <w:lang w:val="en-US"/>
              </w:rPr>
            </w:pPr>
            <w:r>
              <w:rPr>
                <w:rFonts w:ascii="Arial" w:hAnsi="Arial" w:cs="Arial"/>
                <w:lang w:val="en-US"/>
              </w:rPr>
              <w:t xml:space="preserve">There is the potential for improved staff recruitment or retention </w:t>
            </w:r>
          </w:p>
        </w:tc>
        <w:tc>
          <w:tcPr>
            <w:tcW w:w="992" w:type="dxa"/>
          </w:tcPr>
          <w:p w:rsidR="00637F9D" w:rsidP="00C369F4" w14:paraId="4B9A3976" w14:textId="77777777">
            <w:pPr>
              <w:rPr>
                <w:rFonts w:ascii="Arial" w:hAnsi="Arial" w:cs="Arial"/>
                <w:b/>
                <w:bCs/>
                <w:lang w:val="en-US"/>
              </w:rPr>
            </w:pPr>
            <w:r>
              <w:rPr>
                <w:rFonts w:ascii="Arial" w:hAnsi="Arial" w:cs="Arial"/>
                <w:b/>
                <w:bCs/>
                <w:lang w:val="en-US"/>
              </w:rPr>
              <w:t>Y</w:t>
            </w:r>
          </w:p>
        </w:tc>
        <w:tc>
          <w:tcPr>
            <w:tcW w:w="10490" w:type="dxa"/>
          </w:tcPr>
          <w:p w:rsidR="00637F9D" w:rsidRPr="00866938" w:rsidP="00637F9D" w14:paraId="4B9A3977" w14:textId="77777777">
            <w:pPr>
              <w:rPr>
                <w:rFonts w:ascii="Arial" w:hAnsi="Arial" w:cs="Arial"/>
                <w:lang w:val="en-US"/>
              </w:rPr>
            </w:pPr>
            <w:r w:rsidRPr="00866938">
              <w:rPr>
                <w:rFonts w:ascii="Arial" w:hAnsi="Arial" w:cs="Arial"/>
                <w:lang w:val="en-US"/>
              </w:rPr>
              <w:t xml:space="preserve">There are current market challenges which impact on the ability of the councils to recruit and retain professionals within the function. Sharing would provide an opportunity to develop resilience for the function by offering a greater range of roles and the </w:t>
            </w:r>
            <w:r w:rsidRPr="00866938" w:rsidR="00866938">
              <w:rPr>
                <w:rFonts w:ascii="Arial" w:hAnsi="Arial" w:cs="Arial"/>
                <w:lang w:val="en-US"/>
              </w:rPr>
              <w:t xml:space="preserve">ability to transfer skills and experience across the councils. </w:t>
            </w:r>
          </w:p>
          <w:p w:rsidR="00637F9D" w:rsidRPr="003A179E" w:rsidP="00C369F4" w14:paraId="4B9A3978" w14:textId="77777777">
            <w:pPr>
              <w:rPr>
                <w:rFonts w:ascii="Arial" w:hAnsi="Arial" w:cs="Arial"/>
                <w:i/>
                <w:iCs/>
                <w:lang w:val="en-US"/>
              </w:rPr>
            </w:pPr>
          </w:p>
          <w:p w:rsidR="00637F9D" w:rsidRPr="003A179E" w:rsidP="00C369F4" w14:paraId="4B9A3979" w14:textId="77777777">
            <w:pPr>
              <w:rPr>
                <w:rFonts w:ascii="Arial" w:hAnsi="Arial" w:cs="Arial"/>
                <w:i/>
                <w:iCs/>
                <w:lang w:val="en-US"/>
              </w:rPr>
            </w:pPr>
          </w:p>
        </w:tc>
      </w:tr>
      <w:tr w14:paraId="4B9A397F" w14:textId="77777777" w:rsidTr="00C369F4">
        <w:tblPrEx>
          <w:tblW w:w="14459" w:type="dxa"/>
          <w:tblInd w:w="-5" w:type="dxa"/>
          <w:tblLook w:val="04A0"/>
        </w:tblPrEx>
        <w:tc>
          <w:tcPr>
            <w:tcW w:w="2977" w:type="dxa"/>
          </w:tcPr>
          <w:p w:rsidR="00637F9D" w:rsidP="00C369F4" w14:paraId="4B9A397B" w14:textId="77777777">
            <w:pPr>
              <w:rPr>
                <w:rFonts w:ascii="Arial" w:hAnsi="Arial" w:cs="Arial"/>
                <w:lang w:val="en-US"/>
              </w:rPr>
            </w:pPr>
            <w:r>
              <w:rPr>
                <w:rFonts w:ascii="Arial" w:hAnsi="Arial" w:cs="Arial"/>
                <w:lang w:val="en-US"/>
              </w:rPr>
              <w:t xml:space="preserve">There are opportunities to align systems or processes to create a more efficient or effective service </w:t>
            </w:r>
          </w:p>
        </w:tc>
        <w:tc>
          <w:tcPr>
            <w:tcW w:w="992" w:type="dxa"/>
          </w:tcPr>
          <w:p w:rsidR="00637F9D" w:rsidP="00C369F4" w14:paraId="4B9A397C" w14:textId="77777777">
            <w:pPr>
              <w:rPr>
                <w:rFonts w:ascii="Arial" w:hAnsi="Arial" w:cs="Arial"/>
                <w:b/>
                <w:bCs/>
                <w:lang w:val="en-US"/>
              </w:rPr>
            </w:pPr>
            <w:r>
              <w:rPr>
                <w:rFonts w:ascii="Arial" w:hAnsi="Arial" w:cs="Arial"/>
                <w:b/>
                <w:bCs/>
                <w:lang w:val="en-US"/>
              </w:rPr>
              <w:t>Y</w:t>
            </w:r>
          </w:p>
        </w:tc>
        <w:tc>
          <w:tcPr>
            <w:tcW w:w="10490" w:type="dxa"/>
          </w:tcPr>
          <w:p w:rsidR="00866938" w:rsidRPr="00866938" w:rsidP="00866938" w14:paraId="4B9A397D" w14:textId="77777777">
            <w:pPr>
              <w:rPr>
                <w:rFonts w:ascii="Arial" w:hAnsi="Arial" w:cs="Arial"/>
                <w:lang w:val="en-US"/>
              </w:rPr>
            </w:pPr>
            <w:r w:rsidRPr="00866938">
              <w:rPr>
                <w:rFonts w:ascii="Arial" w:hAnsi="Arial" w:cs="Arial"/>
                <w:lang w:val="en-US"/>
              </w:rPr>
              <w:t xml:space="preserve">There is the opportunity to review and standardise processes across the service, with the opportunity to align Property Management Software. </w:t>
            </w:r>
          </w:p>
          <w:p w:rsidR="00637F9D" w:rsidRPr="00866938" w:rsidP="00C369F4" w14:paraId="4B9A397E" w14:textId="77777777">
            <w:pPr>
              <w:rPr>
                <w:rFonts w:ascii="Arial" w:hAnsi="Arial" w:cs="Arial"/>
                <w:lang w:val="en-US"/>
              </w:rPr>
            </w:pPr>
          </w:p>
        </w:tc>
      </w:tr>
    </w:tbl>
    <w:p w:rsidR="003B3101" w14:paraId="4B9A398F" w14:textId="128D3C50"/>
    <w:tbl>
      <w:tblPr>
        <w:tblStyle w:val="TableGrid"/>
        <w:tblW w:w="14459" w:type="dxa"/>
        <w:tblInd w:w="-5" w:type="dxa"/>
        <w:tblLook w:val="04A0"/>
      </w:tblPr>
      <w:tblGrid>
        <w:gridCol w:w="2977"/>
        <w:gridCol w:w="992"/>
        <w:gridCol w:w="10490"/>
      </w:tblGrid>
      <w:tr w14:paraId="2449A2D0" w14:textId="77777777" w:rsidTr="00F5509D">
        <w:tblPrEx>
          <w:tblW w:w="14459" w:type="dxa"/>
          <w:tblInd w:w="-5" w:type="dxa"/>
          <w:tblLook w:val="04A0"/>
        </w:tblPrEx>
        <w:tc>
          <w:tcPr>
            <w:tcW w:w="14459" w:type="dxa"/>
            <w:gridSpan w:val="3"/>
          </w:tcPr>
          <w:p w:rsidR="006B2CC4" w:rsidRPr="00A716D5" w:rsidP="00F5509D" w14:paraId="37E24660" w14:textId="77777777">
            <w:pPr>
              <w:rPr>
                <w:rFonts w:ascii="Arial" w:hAnsi="Arial" w:cs="Arial"/>
                <w:b/>
                <w:bCs/>
                <w:sz w:val="28"/>
                <w:szCs w:val="28"/>
                <w:lang w:val="en-US"/>
              </w:rPr>
            </w:pPr>
            <w:r w:rsidRPr="00A716D5">
              <w:rPr>
                <w:rFonts w:ascii="Arial" w:hAnsi="Arial" w:cs="Arial"/>
                <w:b/>
                <w:bCs/>
                <w:sz w:val="28"/>
                <w:szCs w:val="28"/>
                <w:lang w:val="en-US"/>
              </w:rPr>
              <w:t xml:space="preserve">Business </w:t>
            </w:r>
            <w:r>
              <w:rPr>
                <w:rFonts w:ascii="Arial" w:hAnsi="Arial" w:cs="Arial"/>
                <w:b/>
                <w:bCs/>
                <w:sz w:val="28"/>
                <w:szCs w:val="28"/>
                <w:lang w:val="en-US"/>
              </w:rPr>
              <w:t>Support</w:t>
            </w:r>
            <w:r w:rsidRPr="00A716D5">
              <w:rPr>
                <w:rFonts w:ascii="Arial" w:hAnsi="Arial" w:cs="Arial"/>
                <w:b/>
                <w:bCs/>
                <w:sz w:val="28"/>
                <w:szCs w:val="28"/>
                <w:lang w:val="en-US"/>
              </w:rPr>
              <w:t xml:space="preserve">/ Economic Growth </w:t>
            </w:r>
          </w:p>
          <w:p w:rsidR="006B2CC4" w:rsidP="00F5509D" w14:paraId="7EB296A1" w14:textId="77777777">
            <w:pPr>
              <w:jc w:val="center"/>
              <w:rPr>
                <w:rFonts w:ascii="Arial" w:hAnsi="Arial" w:cs="Arial"/>
                <w:b/>
                <w:bCs/>
                <w:lang w:val="en-US"/>
              </w:rPr>
            </w:pPr>
          </w:p>
        </w:tc>
      </w:tr>
      <w:tr w14:paraId="190EF9E8" w14:textId="77777777" w:rsidTr="00F5509D">
        <w:tblPrEx>
          <w:tblW w:w="14459" w:type="dxa"/>
          <w:tblInd w:w="-5" w:type="dxa"/>
          <w:tblLook w:val="04A0"/>
        </w:tblPrEx>
        <w:tc>
          <w:tcPr>
            <w:tcW w:w="2977" w:type="dxa"/>
          </w:tcPr>
          <w:p w:rsidR="006B2CC4" w:rsidP="00F5509D" w14:paraId="37F7D703" w14:textId="77777777">
            <w:pPr>
              <w:jc w:val="center"/>
              <w:rPr>
                <w:rFonts w:ascii="Arial" w:hAnsi="Arial" w:cs="Arial"/>
                <w:b/>
                <w:bCs/>
                <w:lang w:val="en-US"/>
              </w:rPr>
            </w:pPr>
            <w:r>
              <w:rPr>
                <w:rFonts w:ascii="Arial" w:hAnsi="Arial" w:cs="Arial"/>
                <w:b/>
                <w:bCs/>
                <w:lang w:val="en-US"/>
              </w:rPr>
              <w:t>Criteria</w:t>
            </w:r>
          </w:p>
        </w:tc>
        <w:tc>
          <w:tcPr>
            <w:tcW w:w="992" w:type="dxa"/>
          </w:tcPr>
          <w:p w:rsidR="006B2CC4" w:rsidP="00F5509D" w14:paraId="3A005293" w14:textId="77777777">
            <w:pPr>
              <w:jc w:val="center"/>
              <w:rPr>
                <w:rFonts w:ascii="Arial" w:hAnsi="Arial" w:cs="Arial"/>
                <w:b/>
                <w:bCs/>
                <w:lang w:val="en-US"/>
              </w:rPr>
            </w:pPr>
            <w:r>
              <w:rPr>
                <w:rFonts w:ascii="Arial" w:hAnsi="Arial" w:cs="Arial"/>
                <w:b/>
                <w:bCs/>
                <w:lang w:val="en-US"/>
              </w:rPr>
              <w:t>Yes/ No/ NA</w:t>
            </w:r>
          </w:p>
        </w:tc>
        <w:tc>
          <w:tcPr>
            <w:tcW w:w="10490" w:type="dxa"/>
          </w:tcPr>
          <w:p w:rsidR="006B2CC4" w:rsidP="00F5509D" w14:paraId="396CABFE" w14:textId="77777777">
            <w:pPr>
              <w:jc w:val="center"/>
              <w:rPr>
                <w:rFonts w:ascii="Arial" w:hAnsi="Arial" w:cs="Arial"/>
                <w:b/>
                <w:bCs/>
                <w:lang w:val="en-US"/>
              </w:rPr>
            </w:pPr>
            <w:r>
              <w:rPr>
                <w:rFonts w:ascii="Arial" w:hAnsi="Arial" w:cs="Arial"/>
                <w:b/>
                <w:bCs/>
                <w:lang w:val="en-US"/>
              </w:rPr>
              <w:t>Evidence</w:t>
            </w:r>
          </w:p>
        </w:tc>
      </w:tr>
      <w:tr w14:paraId="082A25D8" w14:textId="77777777" w:rsidTr="00F5509D">
        <w:tblPrEx>
          <w:tblW w:w="14459" w:type="dxa"/>
          <w:tblInd w:w="-5" w:type="dxa"/>
          <w:tblLook w:val="04A0"/>
        </w:tblPrEx>
        <w:tc>
          <w:tcPr>
            <w:tcW w:w="14459" w:type="dxa"/>
            <w:gridSpan w:val="3"/>
            <w:shd w:val="clear" w:color="auto" w:fill="44546A" w:themeFill="text2"/>
          </w:tcPr>
          <w:p w:rsidR="006B2CC4" w:rsidP="00F5509D" w14:paraId="6E95E975" w14:textId="77777777">
            <w:pPr>
              <w:rPr>
                <w:rFonts w:ascii="Arial" w:hAnsi="Arial" w:cs="Arial"/>
                <w:b/>
                <w:bCs/>
                <w:color w:val="FFFFFF" w:themeColor="background1"/>
                <w:lang w:val="en-US"/>
              </w:rPr>
            </w:pPr>
            <w:r>
              <w:rPr>
                <w:rFonts w:ascii="Arial" w:hAnsi="Arial" w:cs="Arial"/>
                <w:b/>
                <w:bCs/>
                <w:color w:val="FFFFFF" w:themeColor="background1"/>
                <w:lang w:val="en-US"/>
              </w:rPr>
              <w:t xml:space="preserve">Must have </w:t>
            </w:r>
          </w:p>
        </w:tc>
      </w:tr>
      <w:tr w14:paraId="474F6F22" w14:textId="77777777" w:rsidTr="00F5509D">
        <w:tblPrEx>
          <w:tblW w:w="14459" w:type="dxa"/>
          <w:tblInd w:w="-5" w:type="dxa"/>
          <w:tblLook w:val="04A0"/>
        </w:tblPrEx>
        <w:tc>
          <w:tcPr>
            <w:tcW w:w="2977" w:type="dxa"/>
          </w:tcPr>
          <w:p w:rsidR="006B2CC4" w:rsidRPr="00347F4B" w:rsidP="00F5509D" w14:paraId="53FA7827" w14:textId="77777777">
            <w:pPr>
              <w:rPr>
                <w:rFonts w:ascii="Arial" w:hAnsi="Arial" w:cs="Arial"/>
                <w:b/>
                <w:bCs/>
                <w:lang w:val="en-US"/>
              </w:rPr>
            </w:pPr>
            <w:r>
              <w:rPr>
                <w:rFonts w:ascii="Arial" w:hAnsi="Arial" w:cs="Arial"/>
                <w:lang w:val="en-US"/>
              </w:rPr>
              <w:t>Sharing the function will allow the councils to continue to deliver their sovereign priorities</w:t>
            </w:r>
          </w:p>
        </w:tc>
        <w:tc>
          <w:tcPr>
            <w:tcW w:w="992" w:type="dxa"/>
          </w:tcPr>
          <w:p w:rsidR="006B2CC4" w:rsidP="00F5509D" w14:paraId="4AE06235" w14:textId="77777777">
            <w:pPr>
              <w:rPr>
                <w:rFonts w:ascii="Arial" w:hAnsi="Arial" w:cs="Arial"/>
                <w:b/>
                <w:bCs/>
                <w:lang w:val="en-US"/>
              </w:rPr>
            </w:pPr>
            <w:r>
              <w:rPr>
                <w:rFonts w:ascii="Arial" w:hAnsi="Arial" w:cs="Arial"/>
                <w:b/>
                <w:bCs/>
                <w:lang w:val="en-US"/>
              </w:rPr>
              <w:t>Y</w:t>
            </w:r>
          </w:p>
        </w:tc>
        <w:tc>
          <w:tcPr>
            <w:tcW w:w="10490" w:type="dxa"/>
          </w:tcPr>
          <w:p w:rsidR="006B2CC4" w:rsidRPr="00A45ED9" w:rsidP="00F5509D" w14:paraId="1D2476A1" w14:textId="77777777">
            <w:pPr>
              <w:rPr>
                <w:rFonts w:ascii="Arial" w:hAnsi="Arial" w:cs="Arial"/>
                <w:lang w:val="en-US"/>
              </w:rPr>
            </w:pPr>
            <w:r w:rsidRPr="00A45ED9">
              <w:rPr>
                <w:rFonts w:ascii="Arial" w:hAnsi="Arial" w:cs="Arial"/>
                <w:lang w:val="en-US"/>
              </w:rPr>
              <w:t>A new shared strategic revision for economic growth is being set out across the Chorley and South Ribble partnership</w:t>
            </w:r>
            <w:r>
              <w:rPr>
                <w:rFonts w:ascii="Arial" w:hAnsi="Arial" w:cs="Arial"/>
                <w:lang w:val="en-US"/>
              </w:rPr>
              <w:t xml:space="preserve">. </w:t>
            </w:r>
            <w:r w:rsidRPr="00A45ED9">
              <w:rPr>
                <w:rFonts w:ascii="Arial" w:hAnsi="Arial" w:cs="Arial"/>
                <w:lang w:val="en-US"/>
              </w:rPr>
              <w:t xml:space="preserve">There are similar priorities and challenges for both councils in terms of the effect of the pandemic, cost of living increase and business/ work demographics. </w:t>
            </w:r>
          </w:p>
          <w:p w:rsidR="006B2CC4" w:rsidP="00F5509D" w14:paraId="1AE7BD22" w14:textId="77777777">
            <w:pPr>
              <w:rPr>
                <w:rFonts w:ascii="Arial" w:hAnsi="Arial" w:cs="Arial"/>
                <w:b/>
                <w:bCs/>
                <w:lang w:val="en-US"/>
              </w:rPr>
            </w:pPr>
          </w:p>
        </w:tc>
      </w:tr>
      <w:tr w14:paraId="5FB8C4FD" w14:textId="77777777" w:rsidTr="00F5509D">
        <w:tblPrEx>
          <w:tblW w:w="14459" w:type="dxa"/>
          <w:tblInd w:w="-5" w:type="dxa"/>
          <w:tblLook w:val="04A0"/>
        </w:tblPrEx>
        <w:tc>
          <w:tcPr>
            <w:tcW w:w="2977" w:type="dxa"/>
          </w:tcPr>
          <w:p w:rsidR="006B2CC4" w:rsidP="00F5509D" w14:paraId="4D674484" w14:textId="77777777">
            <w:pPr>
              <w:rPr>
                <w:rFonts w:ascii="Arial" w:hAnsi="Arial" w:cs="Arial"/>
                <w:lang w:val="en-US"/>
              </w:rPr>
            </w:pPr>
            <w:r>
              <w:rPr>
                <w:rFonts w:ascii="Arial" w:hAnsi="Arial" w:cs="Arial"/>
                <w:lang w:val="en-US"/>
              </w:rPr>
              <w:t>A single, shared model is possible for this function</w:t>
            </w:r>
          </w:p>
          <w:p w:rsidR="006B2CC4" w:rsidP="00F5509D" w14:paraId="0DBC5BA4" w14:textId="77777777">
            <w:pPr>
              <w:rPr>
                <w:rFonts w:ascii="Arial" w:hAnsi="Arial" w:cs="Arial"/>
                <w:lang w:val="en-US"/>
              </w:rPr>
            </w:pPr>
          </w:p>
        </w:tc>
        <w:tc>
          <w:tcPr>
            <w:tcW w:w="992" w:type="dxa"/>
          </w:tcPr>
          <w:p w:rsidR="006B2CC4" w:rsidP="00F5509D" w14:paraId="0E145455" w14:textId="77777777">
            <w:pPr>
              <w:rPr>
                <w:rFonts w:ascii="Arial" w:hAnsi="Arial" w:cs="Arial"/>
                <w:b/>
                <w:bCs/>
                <w:lang w:val="en-US"/>
              </w:rPr>
            </w:pPr>
            <w:r>
              <w:rPr>
                <w:rFonts w:ascii="Arial" w:hAnsi="Arial" w:cs="Arial"/>
                <w:b/>
                <w:bCs/>
                <w:lang w:val="en-US"/>
              </w:rPr>
              <w:t>Y</w:t>
            </w:r>
          </w:p>
        </w:tc>
        <w:tc>
          <w:tcPr>
            <w:tcW w:w="10490" w:type="dxa"/>
          </w:tcPr>
          <w:p w:rsidR="006B2CC4" w:rsidP="00F5509D" w14:paraId="3CF40BBC" w14:textId="77777777">
            <w:pPr>
              <w:rPr>
                <w:rFonts w:ascii="Arial" w:hAnsi="Arial" w:cs="Arial"/>
                <w:lang w:val="en-US"/>
              </w:rPr>
            </w:pPr>
            <w:r w:rsidRPr="00A45ED9">
              <w:rPr>
                <w:rFonts w:ascii="Arial" w:hAnsi="Arial" w:cs="Arial"/>
                <w:lang w:val="en-US"/>
              </w:rPr>
              <w:t xml:space="preserve">A single shared model is possible for the function. There </w:t>
            </w:r>
            <w:r w:rsidRPr="00A45ED9">
              <w:rPr>
                <w:rFonts w:ascii="Arial" w:hAnsi="Arial" w:cs="Arial"/>
                <w:lang w:val="en-US"/>
              </w:rPr>
              <w:t>are</w:t>
            </w:r>
            <w:r w:rsidRPr="00A45ED9">
              <w:rPr>
                <w:rFonts w:ascii="Arial" w:hAnsi="Arial" w:cs="Arial"/>
                <w:lang w:val="en-US"/>
              </w:rPr>
              <w:t xml:space="preserve"> currently no specific line of business applications or set processes which would hinder opportunities for sharing. There are similar structures in place across the current teams</w:t>
            </w:r>
            <w:r>
              <w:rPr>
                <w:rFonts w:ascii="Arial" w:hAnsi="Arial" w:cs="Arial"/>
                <w:lang w:val="en-US"/>
              </w:rPr>
              <w:t xml:space="preserve"> and a similar economic and business context.  </w:t>
            </w:r>
          </w:p>
          <w:p w:rsidR="006B2CC4" w:rsidP="00F5509D" w14:paraId="7972F061" w14:textId="77777777">
            <w:pPr>
              <w:rPr>
                <w:rFonts w:ascii="Arial" w:hAnsi="Arial" w:cs="Arial"/>
                <w:lang w:val="en-US"/>
              </w:rPr>
            </w:pPr>
          </w:p>
          <w:p w:rsidR="006B2CC4" w:rsidRPr="00A45ED9" w:rsidP="00F5509D" w14:paraId="497CA536" w14:textId="77777777">
            <w:pPr>
              <w:rPr>
                <w:rFonts w:ascii="Arial" w:hAnsi="Arial" w:cs="Arial"/>
                <w:lang w:val="en-US"/>
              </w:rPr>
            </w:pPr>
            <w:r>
              <w:rPr>
                <w:rFonts w:ascii="Arial" w:hAnsi="Arial" w:cs="Arial"/>
                <w:lang w:val="en-US"/>
              </w:rPr>
              <w:t xml:space="preserve">The South Ribble function currently covers apprenticeships and skills support, </w:t>
            </w:r>
            <w:r>
              <w:rPr>
                <w:rFonts w:ascii="Arial" w:hAnsi="Arial" w:cs="Arial"/>
                <w:lang w:val="en-US"/>
              </w:rPr>
              <w:t>and also</w:t>
            </w:r>
            <w:r>
              <w:rPr>
                <w:rFonts w:ascii="Arial" w:hAnsi="Arial" w:cs="Arial"/>
                <w:lang w:val="en-US"/>
              </w:rPr>
              <w:t xml:space="preserve"> supports the Community Wealth Building project which is managed through the Transformation and Partnerships service. </w:t>
            </w:r>
          </w:p>
          <w:p w:rsidR="006B2CC4" w:rsidP="00F5509D" w14:paraId="4DDAD8B7" w14:textId="77777777">
            <w:pPr>
              <w:rPr>
                <w:rFonts w:ascii="Arial" w:hAnsi="Arial" w:cs="Arial"/>
                <w:b/>
                <w:bCs/>
                <w:lang w:val="en-US"/>
              </w:rPr>
            </w:pPr>
          </w:p>
        </w:tc>
      </w:tr>
      <w:tr w14:paraId="22510C01" w14:textId="77777777" w:rsidTr="00F5509D">
        <w:tblPrEx>
          <w:tblW w:w="14459" w:type="dxa"/>
          <w:tblInd w:w="-5" w:type="dxa"/>
          <w:tblLook w:val="04A0"/>
        </w:tblPrEx>
        <w:tc>
          <w:tcPr>
            <w:tcW w:w="2977" w:type="dxa"/>
          </w:tcPr>
          <w:p w:rsidR="006B2CC4" w:rsidRPr="00347F4B" w:rsidP="00F5509D" w14:paraId="4E69F5F3" w14:textId="77777777">
            <w:pPr>
              <w:rPr>
                <w:rFonts w:ascii="Arial" w:hAnsi="Arial" w:cs="Arial"/>
                <w:lang w:val="en-US"/>
              </w:rPr>
            </w:pPr>
            <w:r>
              <w:rPr>
                <w:rFonts w:ascii="Arial" w:hAnsi="Arial" w:cs="Arial"/>
                <w:lang w:val="en-US"/>
              </w:rPr>
              <w:t>There is a common need across both councils for this function/area.</w:t>
            </w:r>
          </w:p>
        </w:tc>
        <w:tc>
          <w:tcPr>
            <w:tcW w:w="992" w:type="dxa"/>
          </w:tcPr>
          <w:p w:rsidR="006B2CC4" w:rsidP="00F5509D" w14:paraId="520D5586" w14:textId="77777777">
            <w:pPr>
              <w:rPr>
                <w:rFonts w:ascii="Arial" w:hAnsi="Arial" w:cs="Arial"/>
                <w:b/>
                <w:bCs/>
                <w:lang w:val="en-US"/>
              </w:rPr>
            </w:pPr>
            <w:r>
              <w:rPr>
                <w:rFonts w:ascii="Arial" w:hAnsi="Arial" w:cs="Arial"/>
                <w:b/>
                <w:bCs/>
                <w:lang w:val="en-US"/>
              </w:rPr>
              <w:t>Y</w:t>
            </w:r>
          </w:p>
        </w:tc>
        <w:tc>
          <w:tcPr>
            <w:tcW w:w="10490" w:type="dxa"/>
          </w:tcPr>
          <w:p w:rsidR="006B2CC4" w:rsidRPr="00A45ED9" w:rsidP="00F5509D" w14:paraId="6496E53F" w14:textId="77777777">
            <w:pPr>
              <w:rPr>
                <w:rFonts w:ascii="Arial" w:hAnsi="Arial" w:cs="Arial"/>
                <w:lang w:val="en-US"/>
              </w:rPr>
            </w:pPr>
            <w:r w:rsidRPr="00A45ED9">
              <w:rPr>
                <w:rFonts w:ascii="Arial" w:hAnsi="Arial" w:cs="Arial"/>
                <w:lang w:val="en-US"/>
              </w:rPr>
              <w:t xml:space="preserve">Both councils currently have a business development/ economic growth team and a strong local economy is a key priority for both councils as part of their corporate strategies. </w:t>
            </w:r>
          </w:p>
          <w:p w:rsidR="006B2CC4" w:rsidP="00F5509D" w14:paraId="0BE58D7D" w14:textId="77777777">
            <w:pPr>
              <w:rPr>
                <w:rFonts w:ascii="Arial" w:hAnsi="Arial" w:cs="Arial"/>
                <w:b/>
                <w:bCs/>
                <w:lang w:val="en-US"/>
              </w:rPr>
            </w:pPr>
          </w:p>
          <w:p w:rsidR="006B2CC4" w:rsidP="00F5509D" w14:paraId="0071A199" w14:textId="77777777">
            <w:pPr>
              <w:rPr>
                <w:rFonts w:ascii="Arial" w:hAnsi="Arial" w:cs="Arial"/>
                <w:b/>
                <w:bCs/>
                <w:lang w:val="en-US"/>
              </w:rPr>
            </w:pPr>
          </w:p>
        </w:tc>
      </w:tr>
      <w:tr w14:paraId="129D9582" w14:textId="77777777" w:rsidTr="00F5509D">
        <w:tblPrEx>
          <w:tblW w:w="14459" w:type="dxa"/>
          <w:tblInd w:w="-5" w:type="dxa"/>
          <w:tblLook w:val="04A0"/>
        </w:tblPrEx>
        <w:tc>
          <w:tcPr>
            <w:tcW w:w="14459" w:type="dxa"/>
            <w:gridSpan w:val="3"/>
            <w:shd w:val="clear" w:color="auto" w:fill="44546A" w:themeFill="text2"/>
          </w:tcPr>
          <w:p w:rsidR="006B2CC4" w:rsidP="00F5509D" w14:paraId="1A46364B" w14:textId="77777777">
            <w:pPr>
              <w:rPr>
                <w:rFonts w:ascii="Arial" w:hAnsi="Arial" w:cs="Arial"/>
                <w:b/>
                <w:bCs/>
                <w:color w:val="FFFFFF" w:themeColor="background1"/>
                <w:lang w:val="en-US"/>
              </w:rPr>
            </w:pPr>
            <w:r>
              <w:rPr>
                <w:rFonts w:ascii="Arial" w:hAnsi="Arial" w:cs="Arial"/>
                <w:b/>
                <w:bCs/>
                <w:color w:val="FFFFFF" w:themeColor="background1"/>
                <w:lang w:val="en-US"/>
              </w:rPr>
              <w:t xml:space="preserve">Opportunities for sharing </w:t>
            </w:r>
          </w:p>
        </w:tc>
      </w:tr>
      <w:tr w14:paraId="29CA645D" w14:textId="77777777" w:rsidTr="00F5509D">
        <w:tblPrEx>
          <w:tblW w:w="14459" w:type="dxa"/>
          <w:tblInd w:w="-5" w:type="dxa"/>
          <w:tblLook w:val="04A0"/>
        </w:tblPrEx>
        <w:tc>
          <w:tcPr>
            <w:tcW w:w="2977" w:type="dxa"/>
          </w:tcPr>
          <w:p w:rsidR="006B2CC4" w:rsidP="00F5509D" w14:paraId="427D452D" w14:textId="77777777">
            <w:pPr>
              <w:rPr>
                <w:rFonts w:ascii="Arial" w:hAnsi="Arial" w:cs="Arial"/>
                <w:lang w:val="en-US"/>
              </w:rPr>
            </w:pPr>
            <w:r>
              <w:rPr>
                <w:rFonts w:ascii="Arial" w:hAnsi="Arial" w:cs="Arial"/>
                <w:lang w:val="en-US"/>
              </w:rPr>
              <w:t xml:space="preserve">Temporary, or informal, sharing arrangements already exist </w:t>
            </w:r>
          </w:p>
          <w:p w:rsidR="006B2CC4" w:rsidP="00F5509D" w14:paraId="5AD3A03B" w14:textId="77777777">
            <w:pPr>
              <w:rPr>
                <w:rFonts w:ascii="Arial" w:hAnsi="Arial" w:cs="Arial"/>
                <w:lang w:val="en-US"/>
              </w:rPr>
            </w:pPr>
          </w:p>
        </w:tc>
        <w:tc>
          <w:tcPr>
            <w:tcW w:w="992" w:type="dxa"/>
          </w:tcPr>
          <w:p w:rsidR="006B2CC4" w:rsidP="00F5509D" w14:paraId="03B6E788" w14:textId="77777777">
            <w:pPr>
              <w:rPr>
                <w:rFonts w:ascii="Arial" w:hAnsi="Arial" w:cs="Arial"/>
                <w:b/>
                <w:bCs/>
                <w:lang w:val="en-US"/>
              </w:rPr>
            </w:pPr>
            <w:r>
              <w:rPr>
                <w:rFonts w:ascii="Arial" w:hAnsi="Arial" w:cs="Arial"/>
                <w:b/>
                <w:bCs/>
                <w:lang w:val="en-US"/>
              </w:rPr>
              <w:t>N</w:t>
            </w:r>
          </w:p>
        </w:tc>
        <w:tc>
          <w:tcPr>
            <w:tcW w:w="10490" w:type="dxa"/>
          </w:tcPr>
          <w:p w:rsidR="006B2CC4" w:rsidRPr="003A179E" w:rsidP="00F5509D" w14:paraId="1ADCF5B2" w14:textId="77777777">
            <w:pPr>
              <w:rPr>
                <w:rFonts w:ascii="Arial" w:hAnsi="Arial" w:cs="Arial"/>
                <w:b/>
                <w:bCs/>
                <w:i/>
                <w:iCs/>
                <w:lang w:val="en-US"/>
              </w:rPr>
            </w:pPr>
            <w:r w:rsidRPr="00A45ED9">
              <w:rPr>
                <w:rFonts w:ascii="Arial" w:hAnsi="Arial" w:cs="Arial"/>
                <w:lang w:val="en-US"/>
              </w:rPr>
              <w:t>There are no temporary or informal sharing arrangements</w:t>
            </w:r>
            <w:r>
              <w:rPr>
                <w:rFonts w:ascii="Arial" w:hAnsi="Arial" w:cs="Arial"/>
                <w:lang w:val="en-US"/>
              </w:rPr>
              <w:t xml:space="preserve">. </w:t>
            </w:r>
          </w:p>
        </w:tc>
      </w:tr>
      <w:tr w14:paraId="322DCF7E" w14:textId="77777777" w:rsidTr="00F5509D">
        <w:tblPrEx>
          <w:tblW w:w="14459" w:type="dxa"/>
          <w:tblInd w:w="-5" w:type="dxa"/>
          <w:tblLook w:val="04A0"/>
        </w:tblPrEx>
        <w:tc>
          <w:tcPr>
            <w:tcW w:w="2977" w:type="dxa"/>
          </w:tcPr>
          <w:p w:rsidR="006B2CC4" w:rsidP="00F5509D" w14:paraId="54790E30" w14:textId="77777777">
            <w:pPr>
              <w:rPr>
                <w:rFonts w:ascii="Arial" w:hAnsi="Arial" w:cs="Arial"/>
                <w:lang w:val="en-US"/>
              </w:rPr>
            </w:pPr>
            <w:r>
              <w:rPr>
                <w:rFonts w:ascii="Arial" w:hAnsi="Arial" w:cs="Arial"/>
                <w:lang w:val="en-US"/>
              </w:rPr>
              <w:t xml:space="preserve">Capacity within the service can be reviewed to improve service resilience or produce financial savings </w:t>
            </w:r>
          </w:p>
        </w:tc>
        <w:tc>
          <w:tcPr>
            <w:tcW w:w="992" w:type="dxa"/>
          </w:tcPr>
          <w:p w:rsidR="006B2CC4" w:rsidP="00F5509D" w14:paraId="43222F70" w14:textId="77777777">
            <w:pPr>
              <w:rPr>
                <w:rFonts w:ascii="Arial" w:hAnsi="Arial" w:cs="Arial"/>
                <w:b/>
                <w:bCs/>
                <w:lang w:val="en-US"/>
              </w:rPr>
            </w:pPr>
            <w:r>
              <w:rPr>
                <w:rFonts w:ascii="Arial" w:hAnsi="Arial" w:cs="Arial"/>
                <w:b/>
                <w:bCs/>
                <w:lang w:val="en-US"/>
              </w:rPr>
              <w:t>Y</w:t>
            </w:r>
          </w:p>
        </w:tc>
        <w:tc>
          <w:tcPr>
            <w:tcW w:w="10490" w:type="dxa"/>
          </w:tcPr>
          <w:p w:rsidR="006B2CC4" w:rsidRPr="00215161" w:rsidP="00F5509D" w14:paraId="1182BA06" w14:textId="77777777">
            <w:pPr>
              <w:rPr>
                <w:rFonts w:ascii="Arial" w:hAnsi="Arial" w:cs="Arial"/>
                <w:lang w:val="en-US"/>
              </w:rPr>
            </w:pPr>
            <w:r w:rsidRPr="00215161">
              <w:rPr>
                <w:rFonts w:ascii="Arial" w:hAnsi="Arial" w:cs="Arial"/>
                <w:lang w:val="en-US"/>
              </w:rPr>
              <w:t xml:space="preserve">There are currently 2 vacancies within the teams which provides an opportunity to review the service capacity in line with the priorities for the function. </w:t>
            </w:r>
          </w:p>
          <w:p w:rsidR="006B2CC4" w:rsidRPr="00215161" w:rsidP="00F5509D" w14:paraId="5F2745F4" w14:textId="77777777">
            <w:pPr>
              <w:rPr>
                <w:rFonts w:ascii="Arial" w:hAnsi="Arial" w:cs="Arial"/>
                <w:lang w:val="en-US"/>
              </w:rPr>
            </w:pPr>
          </w:p>
          <w:p w:rsidR="006B2CC4" w:rsidP="00F5509D" w14:paraId="00B39050" w14:textId="77777777">
            <w:pPr>
              <w:rPr>
                <w:rFonts w:ascii="Arial" w:hAnsi="Arial" w:cs="Arial"/>
                <w:lang w:val="en-US"/>
              </w:rPr>
            </w:pPr>
            <w:r w:rsidRPr="00215161">
              <w:rPr>
                <w:rFonts w:ascii="Arial" w:hAnsi="Arial" w:cs="Arial"/>
                <w:lang w:val="en-US"/>
              </w:rPr>
              <w:t xml:space="preserve">Both teams are relatively small with the opportunity to provide increased resilience and capacity through a larger shared team. </w:t>
            </w:r>
          </w:p>
          <w:p w:rsidR="006B2CC4" w:rsidP="00F5509D" w14:paraId="03B40B68" w14:textId="77777777">
            <w:pPr>
              <w:rPr>
                <w:rFonts w:ascii="Arial" w:hAnsi="Arial" w:cs="Arial"/>
                <w:lang w:val="en-US"/>
              </w:rPr>
            </w:pPr>
          </w:p>
          <w:p w:rsidR="006B2CC4" w:rsidRPr="00215161" w:rsidP="00F5509D" w14:paraId="2D264D0E" w14:textId="77777777">
            <w:pPr>
              <w:rPr>
                <w:rFonts w:ascii="Arial" w:hAnsi="Arial" w:cs="Arial"/>
                <w:lang w:val="en-US"/>
              </w:rPr>
            </w:pPr>
            <w:r>
              <w:rPr>
                <w:rFonts w:ascii="Arial" w:hAnsi="Arial" w:cs="Arial"/>
                <w:lang w:val="en-US"/>
              </w:rPr>
              <w:t xml:space="preserve">Managers currently report directly to the Director with no heads of service. Additional management capacity could support the delivery of the service and reduce number of direct line reports to the director. </w:t>
            </w:r>
          </w:p>
          <w:p w:rsidR="006B2CC4" w:rsidRPr="003A179E" w:rsidP="00F5509D" w14:paraId="3166E0DF" w14:textId="77777777">
            <w:pPr>
              <w:rPr>
                <w:rFonts w:ascii="Arial" w:hAnsi="Arial" w:cs="Arial"/>
                <w:i/>
                <w:iCs/>
                <w:lang w:val="en-US"/>
              </w:rPr>
            </w:pPr>
          </w:p>
          <w:p w:rsidR="006B2CC4" w:rsidRPr="003A179E" w:rsidP="00F5509D" w14:paraId="52CD89D7" w14:textId="77777777">
            <w:pPr>
              <w:rPr>
                <w:rFonts w:ascii="Arial" w:hAnsi="Arial" w:cs="Arial"/>
                <w:b/>
                <w:bCs/>
                <w:i/>
                <w:iCs/>
                <w:lang w:val="en-US"/>
              </w:rPr>
            </w:pPr>
          </w:p>
        </w:tc>
      </w:tr>
      <w:tr w14:paraId="59E7D50E" w14:textId="77777777" w:rsidTr="00F5509D">
        <w:tblPrEx>
          <w:tblW w:w="14459" w:type="dxa"/>
          <w:tblInd w:w="-5" w:type="dxa"/>
          <w:tblLook w:val="04A0"/>
        </w:tblPrEx>
        <w:tc>
          <w:tcPr>
            <w:tcW w:w="2977" w:type="dxa"/>
          </w:tcPr>
          <w:p w:rsidR="006B2CC4" w:rsidP="00F5509D" w14:paraId="227DD06B" w14:textId="77777777">
            <w:pPr>
              <w:rPr>
                <w:rFonts w:ascii="Arial" w:hAnsi="Arial" w:cs="Arial"/>
                <w:lang w:val="en-US"/>
              </w:rPr>
            </w:pPr>
            <w:r>
              <w:rPr>
                <w:rFonts w:ascii="Arial" w:hAnsi="Arial" w:cs="Arial"/>
                <w:lang w:val="en-US"/>
              </w:rPr>
              <w:t xml:space="preserve">There is the potential for improved staff recruitment or retention </w:t>
            </w:r>
          </w:p>
        </w:tc>
        <w:tc>
          <w:tcPr>
            <w:tcW w:w="992" w:type="dxa"/>
          </w:tcPr>
          <w:p w:rsidR="006B2CC4" w:rsidP="00F5509D" w14:paraId="4FB162D3" w14:textId="77777777">
            <w:pPr>
              <w:rPr>
                <w:rFonts w:ascii="Arial" w:hAnsi="Arial" w:cs="Arial"/>
                <w:b/>
                <w:bCs/>
                <w:lang w:val="en-US"/>
              </w:rPr>
            </w:pPr>
            <w:r>
              <w:rPr>
                <w:rFonts w:ascii="Arial" w:hAnsi="Arial" w:cs="Arial"/>
                <w:b/>
                <w:bCs/>
                <w:lang w:val="en-US"/>
              </w:rPr>
              <w:t>Y</w:t>
            </w:r>
          </w:p>
        </w:tc>
        <w:tc>
          <w:tcPr>
            <w:tcW w:w="10490" w:type="dxa"/>
          </w:tcPr>
          <w:p w:rsidR="006B2CC4" w:rsidRPr="00215161" w:rsidP="00F5509D" w14:paraId="63291D34" w14:textId="77777777">
            <w:pPr>
              <w:rPr>
                <w:rFonts w:ascii="Arial" w:hAnsi="Arial" w:cs="Arial"/>
                <w:lang w:val="en-US"/>
              </w:rPr>
            </w:pPr>
            <w:r w:rsidRPr="00215161">
              <w:rPr>
                <w:rFonts w:ascii="Arial" w:hAnsi="Arial" w:cs="Arial"/>
                <w:lang w:val="en-US"/>
              </w:rPr>
              <w:t xml:space="preserve">There are currently a range of roles within the </w:t>
            </w:r>
            <w:r w:rsidRPr="00215161">
              <w:rPr>
                <w:rFonts w:ascii="Arial" w:hAnsi="Arial" w:cs="Arial"/>
                <w:lang w:val="en-US"/>
              </w:rPr>
              <w:t>service</w:t>
            </w:r>
            <w:r w:rsidRPr="00215161">
              <w:rPr>
                <w:rFonts w:ascii="Arial" w:hAnsi="Arial" w:cs="Arial"/>
                <w:lang w:val="en-US"/>
              </w:rPr>
              <w:t xml:space="preserve"> but a larger team could offer more opportunities for career progression and development. </w:t>
            </w:r>
          </w:p>
          <w:p w:rsidR="006B2CC4" w:rsidRPr="003A179E" w:rsidP="00F5509D" w14:paraId="3B524AF4" w14:textId="77777777">
            <w:pPr>
              <w:rPr>
                <w:rFonts w:ascii="Arial" w:hAnsi="Arial" w:cs="Arial"/>
                <w:i/>
                <w:iCs/>
                <w:lang w:val="en-US"/>
              </w:rPr>
            </w:pPr>
          </w:p>
          <w:p w:rsidR="006B2CC4" w:rsidRPr="003A179E" w:rsidP="00F5509D" w14:paraId="5F123E2B" w14:textId="77777777">
            <w:pPr>
              <w:rPr>
                <w:rFonts w:ascii="Arial" w:hAnsi="Arial" w:cs="Arial"/>
                <w:i/>
                <w:iCs/>
                <w:lang w:val="en-US"/>
              </w:rPr>
            </w:pPr>
          </w:p>
        </w:tc>
      </w:tr>
      <w:tr w14:paraId="424E7622" w14:textId="77777777" w:rsidTr="00F5509D">
        <w:tblPrEx>
          <w:tblW w:w="14459" w:type="dxa"/>
          <w:tblInd w:w="-5" w:type="dxa"/>
          <w:tblLook w:val="04A0"/>
        </w:tblPrEx>
        <w:tc>
          <w:tcPr>
            <w:tcW w:w="2977" w:type="dxa"/>
          </w:tcPr>
          <w:p w:rsidR="006B2CC4" w:rsidP="00F5509D" w14:paraId="2DE56755" w14:textId="77777777">
            <w:pPr>
              <w:rPr>
                <w:rFonts w:ascii="Arial" w:hAnsi="Arial" w:cs="Arial"/>
                <w:lang w:val="en-US"/>
              </w:rPr>
            </w:pPr>
            <w:r>
              <w:rPr>
                <w:rFonts w:ascii="Arial" w:hAnsi="Arial" w:cs="Arial"/>
                <w:lang w:val="en-US"/>
              </w:rPr>
              <w:t xml:space="preserve">There are opportunities to align systems or processes to create a more efficient or effective service </w:t>
            </w:r>
          </w:p>
        </w:tc>
        <w:tc>
          <w:tcPr>
            <w:tcW w:w="992" w:type="dxa"/>
          </w:tcPr>
          <w:p w:rsidR="006B2CC4" w:rsidP="00F5509D" w14:paraId="54B9FB46" w14:textId="77777777">
            <w:pPr>
              <w:rPr>
                <w:rFonts w:ascii="Arial" w:hAnsi="Arial" w:cs="Arial"/>
                <w:b/>
                <w:bCs/>
                <w:lang w:val="en-US"/>
              </w:rPr>
            </w:pPr>
            <w:r>
              <w:rPr>
                <w:rFonts w:ascii="Arial" w:hAnsi="Arial" w:cs="Arial"/>
                <w:b/>
                <w:bCs/>
                <w:lang w:val="en-US"/>
              </w:rPr>
              <w:t xml:space="preserve">Y </w:t>
            </w:r>
          </w:p>
        </w:tc>
        <w:tc>
          <w:tcPr>
            <w:tcW w:w="10490" w:type="dxa"/>
          </w:tcPr>
          <w:p w:rsidR="006B2CC4" w:rsidRPr="00215161" w:rsidP="00F5509D" w14:paraId="7DE98CA2" w14:textId="77777777">
            <w:pPr>
              <w:rPr>
                <w:rFonts w:ascii="Arial" w:hAnsi="Arial" w:cs="Arial"/>
                <w:lang w:val="en-US"/>
              </w:rPr>
            </w:pPr>
            <w:r w:rsidRPr="00215161">
              <w:rPr>
                <w:rFonts w:ascii="Arial" w:hAnsi="Arial" w:cs="Arial"/>
                <w:lang w:val="en-US"/>
              </w:rPr>
              <w:t xml:space="preserve">There is the opportunity to align work including business support and the delivery of the proposed economic strategies to reduce duplication and create efficiencies for the service. </w:t>
            </w:r>
          </w:p>
          <w:p w:rsidR="006B2CC4" w:rsidRPr="00215161" w:rsidP="00F5509D" w14:paraId="03C52BC0" w14:textId="77777777">
            <w:pPr>
              <w:rPr>
                <w:rFonts w:ascii="Arial" w:hAnsi="Arial" w:cs="Arial"/>
                <w:lang w:val="en-US"/>
              </w:rPr>
            </w:pPr>
          </w:p>
          <w:p w:rsidR="006B2CC4" w:rsidRPr="00215161" w:rsidP="00F5509D" w14:paraId="3E2C12D5" w14:textId="77777777">
            <w:pPr>
              <w:rPr>
                <w:rFonts w:ascii="Arial" w:hAnsi="Arial" w:cs="Arial"/>
                <w:lang w:val="en-US"/>
              </w:rPr>
            </w:pPr>
            <w:r w:rsidRPr="00215161">
              <w:rPr>
                <w:rFonts w:ascii="Arial" w:hAnsi="Arial" w:cs="Arial"/>
                <w:lang w:val="en-US"/>
              </w:rPr>
              <w:t xml:space="preserve">Both services have a strong track record of supporting local business growth and it is expected that this could grow and develop as part of a shared service. </w:t>
            </w:r>
          </w:p>
          <w:p w:rsidR="006B2CC4" w:rsidRPr="003A179E" w:rsidP="00F5509D" w14:paraId="3BDB440E" w14:textId="77777777">
            <w:pPr>
              <w:rPr>
                <w:rFonts w:ascii="Arial" w:hAnsi="Arial" w:cs="Arial"/>
                <w:i/>
                <w:iCs/>
                <w:lang w:val="en-US"/>
              </w:rPr>
            </w:pPr>
          </w:p>
          <w:p w:rsidR="006B2CC4" w:rsidRPr="003A179E" w:rsidP="00F5509D" w14:paraId="65CE9C48" w14:textId="77777777">
            <w:pPr>
              <w:rPr>
                <w:rFonts w:ascii="Arial" w:hAnsi="Arial" w:cs="Arial"/>
                <w:i/>
                <w:iCs/>
                <w:lang w:val="en-US"/>
              </w:rPr>
            </w:pPr>
            <w:r w:rsidRPr="003A179E">
              <w:rPr>
                <w:rFonts w:ascii="Arial" w:hAnsi="Arial" w:cs="Arial"/>
                <w:i/>
                <w:iCs/>
                <w:lang w:val="en-US"/>
              </w:rPr>
              <w:t xml:space="preserve"> </w:t>
            </w:r>
          </w:p>
        </w:tc>
      </w:tr>
    </w:tbl>
    <w:p w:rsidR="006B2CC4" w14:paraId="4F4F7FAF" w14:textId="77777777"/>
    <w:p w:rsidR="003B3101" w14:paraId="4B9A3990" w14:textId="77777777"/>
    <w:tbl>
      <w:tblPr>
        <w:tblStyle w:val="TableGrid1"/>
        <w:tblW w:w="14459" w:type="dxa"/>
        <w:tblInd w:w="-5" w:type="dxa"/>
        <w:tblLook w:val="04A0"/>
      </w:tblPr>
      <w:tblGrid>
        <w:gridCol w:w="2977"/>
        <w:gridCol w:w="992"/>
        <w:gridCol w:w="10490"/>
      </w:tblGrid>
      <w:tr w14:paraId="4B9A3993" w14:textId="77777777" w:rsidTr="00C369F4">
        <w:tblPrEx>
          <w:tblW w:w="14459" w:type="dxa"/>
          <w:tblInd w:w="-5" w:type="dxa"/>
          <w:tblLook w:val="04A0"/>
        </w:tblPrEx>
        <w:tc>
          <w:tcPr>
            <w:tcW w:w="14459" w:type="dxa"/>
            <w:gridSpan w:val="3"/>
          </w:tcPr>
          <w:p w:rsidR="00FE390F" w:rsidRPr="00A716D5" w:rsidP="00FE390F" w14:paraId="4B9A3991" w14:textId="77777777">
            <w:pPr>
              <w:rPr>
                <w:rFonts w:ascii="Arial" w:hAnsi="Arial" w:cs="Arial"/>
                <w:b/>
                <w:bCs/>
                <w:sz w:val="28"/>
                <w:szCs w:val="28"/>
                <w:lang w:val="en-US"/>
              </w:rPr>
            </w:pPr>
            <w:r w:rsidRPr="00A716D5">
              <w:rPr>
                <w:rFonts w:ascii="Arial" w:hAnsi="Arial" w:cs="Arial"/>
                <w:b/>
                <w:bCs/>
                <w:sz w:val="28"/>
                <w:szCs w:val="28"/>
                <w:lang w:val="en-US"/>
              </w:rPr>
              <w:t xml:space="preserve">Public Protection/ Environmental Health </w:t>
            </w:r>
          </w:p>
          <w:p w:rsidR="00FE390F" w:rsidRPr="00691911" w:rsidP="00FE390F" w14:paraId="4B9A3992" w14:textId="77777777">
            <w:pPr>
              <w:rPr>
                <w:rFonts w:ascii="Arial" w:hAnsi="Arial" w:cs="Arial"/>
                <w:b/>
                <w:bCs/>
                <w:lang w:val="en-US"/>
              </w:rPr>
            </w:pPr>
          </w:p>
        </w:tc>
      </w:tr>
      <w:tr w14:paraId="4B9A3997" w14:textId="77777777" w:rsidTr="00C369F4">
        <w:tblPrEx>
          <w:tblW w:w="14459" w:type="dxa"/>
          <w:tblInd w:w="-5" w:type="dxa"/>
          <w:tblLook w:val="04A0"/>
        </w:tblPrEx>
        <w:tc>
          <w:tcPr>
            <w:tcW w:w="2977" w:type="dxa"/>
          </w:tcPr>
          <w:p w:rsidR="00FE390F" w:rsidRPr="00691911" w:rsidP="00C369F4" w14:paraId="4B9A3994" w14:textId="77777777">
            <w:pPr>
              <w:jc w:val="center"/>
              <w:rPr>
                <w:rFonts w:ascii="Arial" w:hAnsi="Arial" w:cs="Arial"/>
                <w:b/>
                <w:bCs/>
                <w:lang w:val="en-US"/>
              </w:rPr>
            </w:pPr>
            <w:r w:rsidRPr="00691911">
              <w:rPr>
                <w:rFonts w:ascii="Arial" w:hAnsi="Arial" w:cs="Arial"/>
                <w:b/>
                <w:bCs/>
                <w:lang w:val="en-US"/>
              </w:rPr>
              <w:t>Criteria</w:t>
            </w:r>
          </w:p>
        </w:tc>
        <w:tc>
          <w:tcPr>
            <w:tcW w:w="992" w:type="dxa"/>
          </w:tcPr>
          <w:p w:rsidR="00FE390F" w:rsidRPr="00691911" w:rsidP="00C369F4" w14:paraId="4B9A3995" w14:textId="77777777">
            <w:pPr>
              <w:jc w:val="center"/>
              <w:rPr>
                <w:rFonts w:ascii="Arial" w:hAnsi="Arial" w:cs="Arial"/>
                <w:b/>
                <w:bCs/>
                <w:lang w:val="en-US"/>
              </w:rPr>
            </w:pPr>
            <w:r w:rsidRPr="00691911">
              <w:rPr>
                <w:rFonts w:ascii="Arial" w:hAnsi="Arial" w:cs="Arial"/>
                <w:b/>
                <w:bCs/>
                <w:lang w:val="en-US"/>
              </w:rPr>
              <w:t>Yes/ No/ NA</w:t>
            </w:r>
          </w:p>
        </w:tc>
        <w:tc>
          <w:tcPr>
            <w:tcW w:w="10490" w:type="dxa"/>
          </w:tcPr>
          <w:p w:rsidR="00FE390F" w:rsidRPr="00691911" w:rsidP="00C369F4" w14:paraId="4B9A3996" w14:textId="77777777">
            <w:pPr>
              <w:jc w:val="center"/>
              <w:rPr>
                <w:rFonts w:ascii="Arial" w:hAnsi="Arial" w:cs="Arial"/>
                <w:b/>
                <w:bCs/>
                <w:lang w:val="en-US"/>
              </w:rPr>
            </w:pPr>
            <w:r w:rsidRPr="00691911">
              <w:rPr>
                <w:rFonts w:ascii="Arial" w:hAnsi="Arial" w:cs="Arial"/>
                <w:b/>
                <w:bCs/>
                <w:lang w:val="en-US"/>
              </w:rPr>
              <w:t>Evidence</w:t>
            </w:r>
          </w:p>
        </w:tc>
      </w:tr>
      <w:tr w14:paraId="4B9A3999" w14:textId="77777777" w:rsidTr="00FE390F">
        <w:tblPrEx>
          <w:tblW w:w="14459" w:type="dxa"/>
          <w:tblInd w:w="-5" w:type="dxa"/>
          <w:tblLook w:val="04A0"/>
        </w:tblPrEx>
        <w:tc>
          <w:tcPr>
            <w:tcW w:w="14459" w:type="dxa"/>
            <w:gridSpan w:val="3"/>
            <w:shd w:val="clear" w:color="auto" w:fill="44546A" w:themeFill="text2"/>
          </w:tcPr>
          <w:p w:rsidR="00FE390F" w:rsidRPr="00691911" w:rsidP="00C369F4" w14:paraId="4B9A3998" w14:textId="77777777">
            <w:pPr>
              <w:rPr>
                <w:rFonts w:ascii="Arial" w:hAnsi="Arial" w:cs="Arial"/>
                <w:b/>
                <w:bCs/>
                <w:color w:val="FFFFFF" w:themeColor="background1"/>
                <w:lang w:val="en-US"/>
              </w:rPr>
            </w:pPr>
            <w:r w:rsidRPr="00691911">
              <w:rPr>
                <w:rFonts w:ascii="Arial" w:hAnsi="Arial" w:cs="Arial"/>
                <w:b/>
                <w:bCs/>
                <w:color w:val="FFFFFF" w:themeColor="background1"/>
                <w:lang w:val="en-US"/>
              </w:rPr>
              <w:t xml:space="preserve">Must have </w:t>
            </w:r>
          </w:p>
        </w:tc>
      </w:tr>
      <w:tr w14:paraId="4B9A399D" w14:textId="77777777" w:rsidTr="00C369F4">
        <w:tblPrEx>
          <w:tblW w:w="14459" w:type="dxa"/>
          <w:tblInd w:w="-5" w:type="dxa"/>
          <w:tblLook w:val="04A0"/>
        </w:tblPrEx>
        <w:tc>
          <w:tcPr>
            <w:tcW w:w="2977" w:type="dxa"/>
          </w:tcPr>
          <w:p w:rsidR="00FE390F" w:rsidRPr="00691911" w:rsidP="00C369F4" w14:paraId="4B9A399A" w14:textId="77777777">
            <w:pPr>
              <w:rPr>
                <w:rFonts w:ascii="Arial" w:hAnsi="Arial" w:cs="Arial"/>
                <w:b/>
                <w:bCs/>
                <w:lang w:val="en-US"/>
              </w:rPr>
            </w:pPr>
            <w:r w:rsidRPr="00691911">
              <w:rPr>
                <w:rFonts w:ascii="Arial" w:hAnsi="Arial" w:cs="Arial"/>
                <w:lang w:val="en-US"/>
              </w:rPr>
              <w:t>Sharing the function will allow the councils to continue to deliver their sovereign priorities</w:t>
            </w:r>
          </w:p>
        </w:tc>
        <w:tc>
          <w:tcPr>
            <w:tcW w:w="992" w:type="dxa"/>
          </w:tcPr>
          <w:p w:rsidR="00FE390F" w:rsidRPr="00691911" w:rsidP="00C369F4" w14:paraId="4B9A399B" w14:textId="77777777">
            <w:pPr>
              <w:rPr>
                <w:rFonts w:ascii="Arial" w:hAnsi="Arial" w:cs="Arial"/>
                <w:b/>
                <w:bCs/>
                <w:lang w:val="en-US"/>
              </w:rPr>
            </w:pPr>
            <w:r>
              <w:rPr>
                <w:rFonts w:ascii="Arial" w:hAnsi="Arial" w:cs="Arial"/>
                <w:b/>
                <w:bCs/>
                <w:lang w:val="en-US"/>
              </w:rPr>
              <w:t>Y</w:t>
            </w:r>
          </w:p>
        </w:tc>
        <w:tc>
          <w:tcPr>
            <w:tcW w:w="10490" w:type="dxa"/>
          </w:tcPr>
          <w:p w:rsidR="00FE390F" w:rsidRPr="007C47D6" w:rsidP="006E7371" w14:paraId="4B9A399C" w14:textId="77777777">
            <w:pPr>
              <w:rPr>
                <w:rFonts w:ascii="Arial" w:hAnsi="Arial" w:cs="Arial"/>
                <w:lang w:val="en-US"/>
              </w:rPr>
            </w:pPr>
            <w:r w:rsidRPr="007C47D6">
              <w:rPr>
                <w:rFonts w:ascii="Arial" w:hAnsi="Arial" w:cs="Arial"/>
                <w:lang w:val="en-US"/>
              </w:rPr>
              <w:t xml:space="preserve">Both councils have similar priorities in relation to Environmental Health and Public Protection including statutory duties and additional functions such as climate change. Both boroughs have similar challenges in terms of air quality and the impact of COVID-19 on the service. </w:t>
            </w:r>
          </w:p>
        </w:tc>
      </w:tr>
      <w:tr w14:paraId="4B9A39A2" w14:textId="77777777" w:rsidTr="00C369F4">
        <w:tblPrEx>
          <w:tblW w:w="14459" w:type="dxa"/>
          <w:tblInd w:w="-5" w:type="dxa"/>
          <w:tblLook w:val="04A0"/>
        </w:tblPrEx>
        <w:tc>
          <w:tcPr>
            <w:tcW w:w="2977" w:type="dxa"/>
          </w:tcPr>
          <w:p w:rsidR="00FE390F" w:rsidRPr="00691911" w:rsidP="00C369F4" w14:paraId="4B9A399E" w14:textId="77777777">
            <w:pPr>
              <w:rPr>
                <w:rFonts w:ascii="Arial" w:hAnsi="Arial" w:cs="Arial"/>
                <w:lang w:val="en-US"/>
              </w:rPr>
            </w:pPr>
            <w:r w:rsidRPr="00691911">
              <w:rPr>
                <w:rFonts w:ascii="Arial" w:hAnsi="Arial" w:cs="Arial"/>
                <w:lang w:val="en-US"/>
              </w:rPr>
              <w:t>A single, shared model is possible for this function</w:t>
            </w:r>
          </w:p>
          <w:p w:rsidR="00FE390F" w:rsidRPr="00691911" w:rsidP="00C369F4" w14:paraId="4B9A399F" w14:textId="77777777">
            <w:pPr>
              <w:rPr>
                <w:rFonts w:ascii="Arial" w:hAnsi="Arial" w:cs="Arial"/>
                <w:lang w:val="en-US"/>
              </w:rPr>
            </w:pPr>
          </w:p>
        </w:tc>
        <w:tc>
          <w:tcPr>
            <w:tcW w:w="992" w:type="dxa"/>
          </w:tcPr>
          <w:p w:rsidR="00FE390F" w:rsidRPr="00691911" w:rsidP="00C369F4" w14:paraId="4B9A39A0" w14:textId="77777777">
            <w:pPr>
              <w:rPr>
                <w:rFonts w:ascii="Arial" w:hAnsi="Arial" w:cs="Arial"/>
                <w:b/>
                <w:bCs/>
                <w:lang w:val="en-US"/>
              </w:rPr>
            </w:pPr>
            <w:r>
              <w:rPr>
                <w:rFonts w:ascii="Arial" w:hAnsi="Arial" w:cs="Arial"/>
                <w:b/>
                <w:bCs/>
                <w:lang w:val="en-US"/>
              </w:rPr>
              <w:t>Y</w:t>
            </w:r>
          </w:p>
        </w:tc>
        <w:tc>
          <w:tcPr>
            <w:tcW w:w="10490" w:type="dxa"/>
          </w:tcPr>
          <w:p w:rsidR="006E7371" w:rsidRPr="007C47D6" w:rsidP="006E7371" w14:paraId="4B9A39A1" w14:textId="77777777">
            <w:pPr>
              <w:rPr>
                <w:rFonts w:ascii="Arial" w:hAnsi="Arial" w:cs="Arial"/>
                <w:lang w:val="en-US"/>
              </w:rPr>
            </w:pPr>
            <w:r w:rsidRPr="007C47D6">
              <w:rPr>
                <w:rFonts w:ascii="Arial" w:hAnsi="Arial" w:cs="Arial"/>
                <w:lang w:val="en-US"/>
              </w:rPr>
              <w:t xml:space="preserve">There are opportunities to align many aspects of the service to a single operating model and share knowledge and experience across the councils. </w:t>
            </w:r>
          </w:p>
        </w:tc>
      </w:tr>
      <w:tr w14:paraId="4B9A39A8" w14:textId="77777777" w:rsidTr="00C369F4">
        <w:tblPrEx>
          <w:tblW w:w="14459" w:type="dxa"/>
          <w:tblInd w:w="-5" w:type="dxa"/>
          <w:tblLook w:val="04A0"/>
        </w:tblPrEx>
        <w:tc>
          <w:tcPr>
            <w:tcW w:w="2977" w:type="dxa"/>
          </w:tcPr>
          <w:p w:rsidR="00FE390F" w:rsidP="00C369F4" w14:paraId="4B9A39A3" w14:textId="77777777">
            <w:pPr>
              <w:rPr>
                <w:rFonts w:ascii="Arial" w:hAnsi="Arial" w:cs="Arial"/>
                <w:lang w:val="en-US"/>
              </w:rPr>
            </w:pPr>
            <w:r w:rsidRPr="00691911">
              <w:rPr>
                <w:rFonts w:ascii="Arial" w:hAnsi="Arial" w:cs="Arial"/>
                <w:lang w:val="en-US"/>
              </w:rPr>
              <w:t>There is a common need across both councils for this function/area.</w:t>
            </w:r>
          </w:p>
          <w:p w:rsidR="007C47D6" w:rsidRPr="00691911" w:rsidP="00C369F4" w14:paraId="4B9A39A4" w14:textId="77777777">
            <w:pPr>
              <w:rPr>
                <w:rFonts w:ascii="Arial" w:hAnsi="Arial" w:cs="Arial"/>
                <w:lang w:val="en-US"/>
              </w:rPr>
            </w:pPr>
          </w:p>
        </w:tc>
        <w:tc>
          <w:tcPr>
            <w:tcW w:w="992" w:type="dxa"/>
          </w:tcPr>
          <w:p w:rsidR="00FE390F" w:rsidRPr="00691911" w:rsidP="00C369F4" w14:paraId="4B9A39A5" w14:textId="77777777">
            <w:pPr>
              <w:rPr>
                <w:rFonts w:ascii="Arial" w:hAnsi="Arial" w:cs="Arial"/>
                <w:b/>
                <w:bCs/>
                <w:lang w:val="en-US"/>
              </w:rPr>
            </w:pPr>
            <w:r>
              <w:rPr>
                <w:rFonts w:ascii="Arial" w:hAnsi="Arial" w:cs="Arial"/>
                <w:b/>
                <w:bCs/>
                <w:lang w:val="en-US"/>
              </w:rPr>
              <w:t>Y</w:t>
            </w:r>
          </w:p>
        </w:tc>
        <w:tc>
          <w:tcPr>
            <w:tcW w:w="10490" w:type="dxa"/>
          </w:tcPr>
          <w:p w:rsidR="00FE390F" w:rsidRPr="00FE390F" w:rsidP="00C369F4" w14:paraId="4B9A39A6" w14:textId="77777777">
            <w:pPr>
              <w:rPr>
                <w:rFonts w:ascii="Arial" w:hAnsi="Arial" w:cs="Arial"/>
                <w:lang w:val="en-US"/>
              </w:rPr>
            </w:pPr>
            <w:r w:rsidRPr="00FE390F">
              <w:rPr>
                <w:rFonts w:ascii="Arial" w:hAnsi="Arial" w:cs="Arial"/>
                <w:lang w:val="en-US"/>
              </w:rPr>
              <w:t xml:space="preserve">Both councils require a public protection/ environmental health function. Chorley has ambitions to develop an in-house pest control service as is currently in place at South Ribble. </w:t>
            </w:r>
          </w:p>
          <w:p w:rsidR="00FE390F" w:rsidRPr="00FE390F" w:rsidP="00C369F4" w14:paraId="4B9A39A7" w14:textId="77777777">
            <w:pPr>
              <w:rPr>
                <w:rFonts w:ascii="Arial" w:hAnsi="Arial" w:cs="Arial"/>
                <w:lang w:val="en-US"/>
              </w:rPr>
            </w:pPr>
          </w:p>
        </w:tc>
      </w:tr>
      <w:tr w14:paraId="4B9A39AA" w14:textId="77777777" w:rsidTr="00FE390F">
        <w:tblPrEx>
          <w:tblW w:w="14459" w:type="dxa"/>
          <w:tblInd w:w="-5" w:type="dxa"/>
          <w:tblLook w:val="04A0"/>
        </w:tblPrEx>
        <w:tc>
          <w:tcPr>
            <w:tcW w:w="14459" w:type="dxa"/>
            <w:gridSpan w:val="3"/>
            <w:shd w:val="clear" w:color="auto" w:fill="44546A" w:themeFill="text2"/>
          </w:tcPr>
          <w:p w:rsidR="00FE390F" w:rsidRPr="00691911" w:rsidP="00FE390F" w14:paraId="4B9A39A9" w14:textId="77777777">
            <w:pPr>
              <w:rPr>
                <w:rFonts w:ascii="Arial" w:hAnsi="Arial" w:cs="Arial"/>
                <w:b/>
                <w:bCs/>
                <w:color w:val="FFFFFF" w:themeColor="background1"/>
                <w:lang w:val="en-US"/>
              </w:rPr>
            </w:pPr>
            <w:r w:rsidRPr="00691911">
              <w:rPr>
                <w:rFonts w:ascii="Arial" w:hAnsi="Arial" w:cs="Arial"/>
                <w:b/>
                <w:bCs/>
                <w:color w:val="FFFFFF" w:themeColor="background1"/>
                <w:lang w:val="en-US"/>
              </w:rPr>
              <w:t xml:space="preserve">Opportunities for sharing </w:t>
            </w:r>
          </w:p>
        </w:tc>
      </w:tr>
      <w:tr w14:paraId="4B9A39B0" w14:textId="77777777" w:rsidTr="00C369F4">
        <w:tblPrEx>
          <w:tblW w:w="14459" w:type="dxa"/>
          <w:tblInd w:w="-5" w:type="dxa"/>
          <w:tblLook w:val="04A0"/>
        </w:tblPrEx>
        <w:tc>
          <w:tcPr>
            <w:tcW w:w="2977" w:type="dxa"/>
          </w:tcPr>
          <w:p w:rsidR="00FE390F" w:rsidRPr="00691911" w:rsidP="00C369F4" w14:paraId="4B9A39AB" w14:textId="77777777">
            <w:pPr>
              <w:rPr>
                <w:rFonts w:ascii="Arial" w:hAnsi="Arial" w:cs="Arial"/>
                <w:lang w:val="en-US"/>
              </w:rPr>
            </w:pPr>
            <w:r w:rsidRPr="00691911">
              <w:rPr>
                <w:rFonts w:ascii="Arial" w:hAnsi="Arial" w:cs="Arial"/>
                <w:lang w:val="en-US"/>
              </w:rPr>
              <w:t>Temporary, or informal, sharing arrangements already exist</w:t>
            </w:r>
          </w:p>
          <w:p w:rsidR="00FE390F" w:rsidRPr="00691911" w:rsidP="00C369F4" w14:paraId="4B9A39AC" w14:textId="77777777">
            <w:pPr>
              <w:rPr>
                <w:rFonts w:ascii="Arial" w:hAnsi="Arial" w:cs="Arial"/>
                <w:lang w:val="en-US"/>
              </w:rPr>
            </w:pPr>
          </w:p>
        </w:tc>
        <w:tc>
          <w:tcPr>
            <w:tcW w:w="992" w:type="dxa"/>
          </w:tcPr>
          <w:p w:rsidR="00FE390F" w:rsidRPr="00691911" w:rsidP="00C369F4" w14:paraId="4B9A39AD" w14:textId="77777777">
            <w:pPr>
              <w:rPr>
                <w:rFonts w:ascii="Arial" w:hAnsi="Arial" w:cs="Arial"/>
                <w:b/>
                <w:bCs/>
                <w:lang w:val="en-US"/>
              </w:rPr>
            </w:pPr>
            <w:r>
              <w:rPr>
                <w:rFonts w:ascii="Arial" w:hAnsi="Arial" w:cs="Arial"/>
                <w:b/>
                <w:bCs/>
                <w:lang w:val="en-US"/>
              </w:rPr>
              <w:t>Y</w:t>
            </w:r>
          </w:p>
        </w:tc>
        <w:tc>
          <w:tcPr>
            <w:tcW w:w="10490" w:type="dxa"/>
          </w:tcPr>
          <w:p w:rsidR="002A780A" w:rsidP="00FE390F" w14:paraId="4B9A39AE" w14:textId="77777777">
            <w:pPr>
              <w:rPr>
                <w:rFonts w:ascii="Arial" w:hAnsi="Arial" w:cs="Arial"/>
                <w:lang w:val="en-US"/>
              </w:rPr>
            </w:pPr>
            <w:r w:rsidRPr="00FE390F">
              <w:rPr>
                <w:rFonts w:ascii="Arial" w:hAnsi="Arial" w:cs="Arial"/>
                <w:lang w:val="en-US"/>
              </w:rPr>
              <w:t xml:space="preserve">Proposals are currently in place for a shared pest control service which will introduce an in-house service at Chorley Council. </w:t>
            </w:r>
            <w:r w:rsidR="00040ACF">
              <w:rPr>
                <w:rFonts w:ascii="Arial" w:hAnsi="Arial" w:cs="Arial"/>
                <w:lang w:val="en-US"/>
              </w:rPr>
              <w:t xml:space="preserve">There are also temporary arrangements currently in place for a shared environmental health manager. </w:t>
            </w:r>
            <w:r>
              <w:rPr>
                <w:rFonts w:ascii="Arial" w:hAnsi="Arial" w:cs="Arial"/>
                <w:lang w:val="en-US"/>
              </w:rPr>
              <w:t xml:space="preserve">The functions currently plan to work closely together in certain areas, for example a joint case study and awareness campaign to be carried out in 2022 in relation to Air Quality Particulate Matter and Monitoring. </w:t>
            </w:r>
          </w:p>
          <w:p w:rsidR="00D8556C" w:rsidRPr="00FE390F" w:rsidP="00FE390F" w14:paraId="4B9A39AF" w14:textId="77777777">
            <w:pPr>
              <w:rPr>
                <w:rFonts w:ascii="Arial" w:hAnsi="Arial" w:cs="Arial"/>
                <w:b/>
                <w:bCs/>
                <w:lang w:val="en-US"/>
              </w:rPr>
            </w:pPr>
          </w:p>
        </w:tc>
      </w:tr>
      <w:tr w14:paraId="4B9A39BA" w14:textId="77777777" w:rsidTr="00C369F4">
        <w:tblPrEx>
          <w:tblW w:w="14459" w:type="dxa"/>
          <w:tblInd w:w="-5" w:type="dxa"/>
          <w:tblLook w:val="04A0"/>
        </w:tblPrEx>
        <w:tc>
          <w:tcPr>
            <w:tcW w:w="2977" w:type="dxa"/>
          </w:tcPr>
          <w:p w:rsidR="00FE390F" w:rsidRPr="00691911" w:rsidP="00C369F4" w14:paraId="4B9A39B1" w14:textId="77777777">
            <w:pPr>
              <w:rPr>
                <w:rFonts w:ascii="Arial" w:hAnsi="Arial" w:cs="Arial"/>
                <w:lang w:val="en-US"/>
              </w:rPr>
            </w:pPr>
            <w:r w:rsidRPr="00691911">
              <w:rPr>
                <w:rFonts w:ascii="Arial" w:hAnsi="Arial" w:cs="Arial"/>
                <w:lang w:val="en-US"/>
              </w:rPr>
              <w:t xml:space="preserve">Capacity within the service can be reviewed to improve service resilience or produce financial savings </w:t>
            </w:r>
          </w:p>
        </w:tc>
        <w:tc>
          <w:tcPr>
            <w:tcW w:w="992" w:type="dxa"/>
          </w:tcPr>
          <w:p w:rsidR="00FE390F" w:rsidRPr="00691911" w:rsidP="00C369F4" w14:paraId="4B9A39B2" w14:textId="77777777">
            <w:pPr>
              <w:rPr>
                <w:rFonts w:ascii="Arial" w:hAnsi="Arial" w:cs="Arial"/>
                <w:b/>
                <w:bCs/>
                <w:lang w:val="en-US"/>
              </w:rPr>
            </w:pPr>
            <w:r>
              <w:rPr>
                <w:rFonts w:ascii="Arial" w:hAnsi="Arial" w:cs="Arial"/>
                <w:b/>
                <w:bCs/>
                <w:lang w:val="en-US"/>
              </w:rPr>
              <w:t>Y</w:t>
            </w:r>
          </w:p>
        </w:tc>
        <w:tc>
          <w:tcPr>
            <w:tcW w:w="10490" w:type="dxa"/>
          </w:tcPr>
          <w:p w:rsidR="00FE390F" w:rsidRPr="00FE390F" w:rsidP="00C369F4" w14:paraId="4B9A39B3" w14:textId="77777777">
            <w:pPr>
              <w:rPr>
                <w:rFonts w:ascii="Arial" w:hAnsi="Arial" w:cs="Arial"/>
                <w:lang w:val="en-US"/>
              </w:rPr>
            </w:pPr>
            <w:r w:rsidRPr="00FE390F">
              <w:rPr>
                <w:rFonts w:ascii="Arial" w:hAnsi="Arial" w:cs="Arial"/>
                <w:lang w:val="en-US"/>
              </w:rPr>
              <w:t xml:space="preserve">There might be some areas within the service where borough specific knowledge has been developed or where it is difficult for officers to cover the geographical area across both boroughs for visits. This might potentially limit some of the opportunity to share capacity and develop service resilience. </w:t>
            </w:r>
          </w:p>
          <w:p w:rsidR="00FE390F" w:rsidRPr="00FE390F" w:rsidP="00C369F4" w14:paraId="4B9A39B4" w14:textId="77777777">
            <w:pPr>
              <w:rPr>
                <w:rFonts w:ascii="Arial" w:hAnsi="Arial" w:cs="Arial"/>
                <w:lang w:val="en-US"/>
              </w:rPr>
            </w:pPr>
          </w:p>
          <w:p w:rsidR="00FE390F" w:rsidP="00C369F4" w14:paraId="4B9A39B5" w14:textId="77777777">
            <w:pPr>
              <w:rPr>
                <w:rFonts w:ascii="Arial" w:hAnsi="Arial" w:cs="Arial"/>
                <w:lang w:val="en-US"/>
              </w:rPr>
            </w:pPr>
            <w:r w:rsidRPr="00FE390F">
              <w:rPr>
                <w:rFonts w:ascii="Arial" w:hAnsi="Arial" w:cs="Arial"/>
                <w:lang w:val="en-US"/>
              </w:rPr>
              <w:t xml:space="preserve">Despite this, there are opportunities to align the services to provide additional resilience and capacity as there are currently some vacant posts within the function.  </w:t>
            </w:r>
          </w:p>
          <w:p w:rsidR="004C7097" w:rsidP="00C369F4" w14:paraId="4B9A39B6" w14:textId="77777777">
            <w:pPr>
              <w:rPr>
                <w:rFonts w:ascii="Arial" w:hAnsi="Arial" w:cs="Arial"/>
                <w:lang w:val="en-US"/>
              </w:rPr>
            </w:pPr>
          </w:p>
          <w:p w:rsidR="00FE390F" w:rsidP="00C369F4" w14:paraId="4B9A39B7" w14:textId="77777777">
            <w:pPr>
              <w:rPr>
                <w:rFonts w:ascii="Arial" w:hAnsi="Arial" w:cs="Arial"/>
                <w:lang w:val="en-US"/>
              </w:rPr>
            </w:pPr>
            <w:r>
              <w:rPr>
                <w:rFonts w:ascii="Arial" w:hAnsi="Arial" w:cs="Arial"/>
                <w:lang w:val="en-US"/>
              </w:rPr>
              <w:t xml:space="preserve">Both councils are high performing, meeting the Food Standards Agency targets for food interventions, adapting to the challenges of the COVID-19 </w:t>
            </w:r>
            <w:r>
              <w:rPr>
                <w:rFonts w:ascii="Arial" w:hAnsi="Arial" w:cs="Arial"/>
                <w:lang w:val="en-US"/>
              </w:rPr>
              <w:t>pandemic</w:t>
            </w:r>
            <w:r>
              <w:rPr>
                <w:rFonts w:ascii="Arial" w:hAnsi="Arial" w:cs="Arial"/>
                <w:lang w:val="en-US"/>
              </w:rPr>
              <w:t xml:space="preserve"> and expanding their remit to include a greater focus on </w:t>
            </w:r>
            <w:r w:rsidR="002A780A">
              <w:rPr>
                <w:rFonts w:ascii="Arial" w:hAnsi="Arial" w:cs="Arial"/>
                <w:lang w:val="en-US"/>
              </w:rPr>
              <w:t xml:space="preserve">the councils’ </w:t>
            </w:r>
            <w:r>
              <w:rPr>
                <w:rFonts w:ascii="Arial" w:hAnsi="Arial" w:cs="Arial"/>
                <w:lang w:val="en-US"/>
              </w:rPr>
              <w:t>climate change</w:t>
            </w:r>
            <w:r w:rsidR="002A780A">
              <w:rPr>
                <w:rFonts w:ascii="Arial" w:hAnsi="Arial" w:cs="Arial"/>
                <w:lang w:val="en-US"/>
              </w:rPr>
              <w:t xml:space="preserve"> priorities. </w:t>
            </w:r>
          </w:p>
          <w:p w:rsidR="00C539A8" w:rsidP="00C369F4" w14:paraId="4B9A39B8" w14:textId="77777777">
            <w:pPr>
              <w:rPr>
                <w:rFonts w:ascii="Arial" w:hAnsi="Arial" w:cs="Arial"/>
                <w:lang w:val="en-US"/>
              </w:rPr>
            </w:pPr>
          </w:p>
          <w:p w:rsidR="002A780A" w:rsidRPr="002A780A" w:rsidP="00EC67EA" w14:paraId="4B9A39B9" w14:textId="77777777">
            <w:pPr>
              <w:rPr>
                <w:rFonts w:ascii="Arial" w:hAnsi="Arial" w:cs="Arial"/>
                <w:lang w:val="en-US"/>
              </w:rPr>
            </w:pPr>
          </w:p>
        </w:tc>
      </w:tr>
      <w:tr w14:paraId="4B9A39BF" w14:textId="77777777" w:rsidTr="00C369F4">
        <w:tblPrEx>
          <w:tblW w:w="14459" w:type="dxa"/>
          <w:tblInd w:w="-5" w:type="dxa"/>
          <w:tblLook w:val="04A0"/>
        </w:tblPrEx>
        <w:tc>
          <w:tcPr>
            <w:tcW w:w="2977" w:type="dxa"/>
          </w:tcPr>
          <w:p w:rsidR="00FE390F" w:rsidRPr="00691911" w:rsidP="00C369F4" w14:paraId="4B9A39BB" w14:textId="77777777">
            <w:pPr>
              <w:rPr>
                <w:rFonts w:ascii="Arial" w:hAnsi="Arial" w:cs="Arial"/>
                <w:lang w:val="en-US"/>
              </w:rPr>
            </w:pPr>
            <w:r w:rsidRPr="00691911">
              <w:rPr>
                <w:rFonts w:ascii="Arial" w:hAnsi="Arial" w:cs="Arial"/>
                <w:lang w:val="en-US"/>
              </w:rPr>
              <w:t xml:space="preserve">There is the potential for improved staff recruitment or retention </w:t>
            </w:r>
          </w:p>
        </w:tc>
        <w:tc>
          <w:tcPr>
            <w:tcW w:w="992" w:type="dxa"/>
          </w:tcPr>
          <w:p w:rsidR="00FE390F" w:rsidRPr="00691911" w:rsidP="00C369F4" w14:paraId="4B9A39BC" w14:textId="77777777">
            <w:pPr>
              <w:rPr>
                <w:rFonts w:ascii="Arial" w:hAnsi="Arial" w:cs="Arial"/>
                <w:b/>
                <w:bCs/>
                <w:lang w:val="en-US"/>
              </w:rPr>
            </w:pPr>
            <w:r>
              <w:rPr>
                <w:rFonts w:ascii="Arial" w:hAnsi="Arial" w:cs="Arial"/>
                <w:b/>
                <w:bCs/>
                <w:lang w:val="en-US"/>
              </w:rPr>
              <w:t>Y</w:t>
            </w:r>
          </w:p>
        </w:tc>
        <w:tc>
          <w:tcPr>
            <w:tcW w:w="10490" w:type="dxa"/>
          </w:tcPr>
          <w:p w:rsidR="00FE390F" w:rsidP="00C369F4" w14:paraId="4B9A39BD" w14:textId="77777777">
            <w:pPr>
              <w:rPr>
                <w:rFonts w:ascii="Arial" w:hAnsi="Arial" w:cs="Arial"/>
              </w:rPr>
            </w:pPr>
            <w:r w:rsidRPr="00EC67EA">
              <w:rPr>
                <w:rFonts w:ascii="Arial" w:hAnsi="Arial" w:cs="Arial"/>
              </w:rPr>
              <w:t>There are national difficulties with recruiting Environmental Health Officers and a need to ‘grow our own’. There is already a student EHO position in place at Chorley and over time one area for sharing may initially be in creating training and succession opportunities working together as well as with other councils across Lancashire through Environmental Health Lancashire.</w:t>
            </w:r>
          </w:p>
          <w:p w:rsidR="00EC67EA" w:rsidRPr="00EC67EA" w:rsidP="00C369F4" w14:paraId="4B9A39BE" w14:textId="77777777">
            <w:pPr>
              <w:rPr>
                <w:rFonts w:ascii="Arial" w:hAnsi="Arial" w:cs="Arial"/>
                <w:i/>
                <w:iCs/>
                <w:lang w:val="en-US"/>
              </w:rPr>
            </w:pPr>
          </w:p>
        </w:tc>
      </w:tr>
      <w:tr w14:paraId="4B9A39C5" w14:textId="77777777" w:rsidTr="00C369F4">
        <w:tblPrEx>
          <w:tblW w:w="14459" w:type="dxa"/>
          <w:tblInd w:w="-5" w:type="dxa"/>
          <w:tblLook w:val="04A0"/>
        </w:tblPrEx>
        <w:tc>
          <w:tcPr>
            <w:tcW w:w="2977" w:type="dxa"/>
          </w:tcPr>
          <w:p w:rsidR="00FE390F" w:rsidRPr="00691911" w:rsidP="00C369F4" w14:paraId="4B9A39C0" w14:textId="77777777">
            <w:pPr>
              <w:rPr>
                <w:rFonts w:ascii="Arial" w:hAnsi="Arial" w:cs="Arial"/>
                <w:lang w:val="en-US"/>
              </w:rPr>
            </w:pPr>
            <w:r w:rsidRPr="00691911">
              <w:rPr>
                <w:rFonts w:ascii="Arial" w:hAnsi="Arial" w:cs="Arial"/>
                <w:lang w:val="en-US"/>
              </w:rPr>
              <w:t xml:space="preserve">There are opportunities to align systems or processes to create a more efficient or effective service </w:t>
            </w:r>
          </w:p>
        </w:tc>
        <w:tc>
          <w:tcPr>
            <w:tcW w:w="992" w:type="dxa"/>
          </w:tcPr>
          <w:p w:rsidR="00FE390F" w:rsidRPr="00691911" w:rsidP="00C369F4" w14:paraId="4B9A39C1" w14:textId="77777777">
            <w:pPr>
              <w:rPr>
                <w:rFonts w:ascii="Arial" w:hAnsi="Arial" w:cs="Arial"/>
                <w:b/>
                <w:bCs/>
                <w:lang w:val="en-US"/>
              </w:rPr>
            </w:pPr>
            <w:r>
              <w:rPr>
                <w:rFonts w:ascii="Arial" w:hAnsi="Arial" w:cs="Arial"/>
                <w:b/>
                <w:bCs/>
                <w:lang w:val="en-US"/>
              </w:rPr>
              <w:t>Y</w:t>
            </w:r>
          </w:p>
        </w:tc>
        <w:tc>
          <w:tcPr>
            <w:tcW w:w="10490" w:type="dxa"/>
          </w:tcPr>
          <w:p w:rsidR="002A780A" w:rsidP="00C369F4" w14:paraId="4B9A39C2" w14:textId="77777777">
            <w:pPr>
              <w:rPr>
                <w:rFonts w:ascii="Arial" w:hAnsi="Arial" w:cs="Arial"/>
                <w:lang w:val="en-US"/>
              </w:rPr>
            </w:pPr>
            <w:r>
              <w:rPr>
                <w:rFonts w:ascii="Arial" w:hAnsi="Arial" w:cs="Arial"/>
                <w:lang w:val="en-US"/>
              </w:rPr>
              <w:t xml:space="preserve">There is an opportunity to review processes in relation to statutory services to ensure that they are efficient and effective. </w:t>
            </w:r>
          </w:p>
          <w:p w:rsidR="002A780A" w:rsidP="00C369F4" w14:paraId="4B9A39C3" w14:textId="77777777">
            <w:pPr>
              <w:rPr>
                <w:rFonts w:ascii="Arial" w:hAnsi="Arial" w:cs="Arial"/>
                <w:lang w:val="en-US"/>
              </w:rPr>
            </w:pPr>
          </w:p>
          <w:p w:rsidR="00FE390F" w:rsidRPr="00691911" w:rsidP="00C369F4" w14:paraId="4B9A39C4" w14:textId="77777777">
            <w:pPr>
              <w:rPr>
                <w:rFonts w:ascii="Arial" w:hAnsi="Arial" w:cs="Arial"/>
                <w:i/>
                <w:iCs/>
                <w:lang w:val="en-US"/>
              </w:rPr>
            </w:pPr>
          </w:p>
        </w:tc>
      </w:tr>
    </w:tbl>
    <w:p w:rsidR="00C539A8" w14:paraId="4B9A39D5" w14:textId="77777777"/>
    <w:tbl>
      <w:tblPr>
        <w:tblStyle w:val="TableGrid1"/>
        <w:tblW w:w="14459" w:type="dxa"/>
        <w:tblInd w:w="-5" w:type="dxa"/>
        <w:tblLook w:val="04A0"/>
      </w:tblPr>
      <w:tblGrid>
        <w:gridCol w:w="2977"/>
        <w:gridCol w:w="992"/>
        <w:gridCol w:w="10490"/>
      </w:tblGrid>
      <w:tr w14:paraId="4B9A39D8" w14:textId="77777777" w:rsidTr="00C369F4">
        <w:tblPrEx>
          <w:tblW w:w="14459" w:type="dxa"/>
          <w:tblInd w:w="-5" w:type="dxa"/>
          <w:tblLook w:val="04A0"/>
        </w:tblPrEx>
        <w:tc>
          <w:tcPr>
            <w:tcW w:w="14459" w:type="dxa"/>
            <w:gridSpan w:val="3"/>
          </w:tcPr>
          <w:p w:rsidR="00CD096B" w:rsidRPr="00A716D5" w:rsidP="00CD096B" w14:paraId="4B9A39D6" w14:textId="77777777">
            <w:pPr>
              <w:rPr>
                <w:rFonts w:ascii="Arial" w:hAnsi="Arial" w:cs="Arial"/>
                <w:b/>
                <w:bCs/>
                <w:sz w:val="28"/>
                <w:szCs w:val="28"/>
                <w:lang w:val="en-US"/>
              </w:rPr>
            </w:pPr>
            <w:r w:rsidRPr="00A716D5">
              <w:rPr>
                <w:rFonts w:ascii="Arial" w:hAnsi="Arial" w:cs="Arial"/>
                <w:b/>
                <w:bCs/>
                <w:sz w:val="28"/>
                <w:szCs w:val="28"/>
                <w:lang w:val="en-US"/>
              </w:rPr>
              <w:t>Spatial Planning</w:t>
            </w:r>
            <w:r w:rsidRPr="00A716D5" w:rsidR="00B12690">
              <w:rPr>
                <w:rFonts w:ascii="Arial" w:hAnsi="Arial" w:cs="Arial"/>
                <w:b/>
                <w:bCs/>
                <w:sz w:val="28"/>
                <w:szCs w:val="28"/>
                <w:lang w:val="en-US"/>
              </w:rPr>
              <w:t xml:space="preserve">/ Planning Policy </w:t>
            </w:r>
          </w:p>
          <w:p w:rsidR="00CD096B" w:rsidRPr="00691911" w:rsidP="00CD096B" w14:paraId="4B9A39D7" w14:textId="77777777">
            <w:pPr>
              <w:rPr>
                <w:rFonts w:ascii="Arial" w:hAnsi="Arial" w:cs="Arial"/>
                <w:b/>
                <w:bCs/>
                <w:lang w:val="en-US"/>
              </w:rPr>
            </w:pPr>
          </w:p>
        </w:tc>
      </w:tr>
      <w:tr w14:paraId="4B9A39DC" w14:textId="77777777" w:rsidTr="00C369F4">
        <w:tblPrEx>
          <w:tblW w:w="14459" w:type="dxa"/>
          <w:tblInd w:w="-5" w:type="dxa"/>
          <w:tblLook w:val="04A0"/>
        </w:tblPrEx>
        <w:tc>
          <w:tcPr>
            <w:tcW w:w="2977" w:type="dxa"/>
          </w:tcPr>
          <w:p w:rsidR="00CD096B" w:rsidRPr="00691911" w:rsidP="00C369F4" w14:paraId="4B9A39D9" w14:textId="77777777">
            <w:pPr>
              <w:jc w:val="center"/>
              <w:rPr>
                <w:rFonts w:ascii="Arial" w:hAnsi="Arial" w:cs="Arial"/>
                <w:b/>
                <w:bCs/>
                <w:lang w:val="en-US"/>
              </w:rPr>
            </w:pPr>
            <w:r w:rsidRPr="00691911">
              <w:rPr>
                <w:rFonts w:ascii="Arial" w:hAnsi="Arial" w:cs="Arial"/>
                <w:b/>
                <w:bCs/>
                <w:lang w:val="en-US"/>
              </w:rPr>
              <w:t>Criteria</w:t>
            </w:r>
          </w:p>
        </w:tc>
        <w:tc>
          <w:tcPr>
            <w:tcW w:w="992" w:type="dxa"/>
          </w:tcPr>
          <w:p w:rsidR="00CD096B" w:rsidRPr="00691911" w:rsidP="00C369F4" w14:paraId="4B9A39DA" w14:textId="77777777">
            <w:pPr>
              <w:jc w:val="center"/>
              <w:rPr>
                <w:rFonts w:ascii="Arial" w:hAnsi="Arial" w:cs="Arial"/>
                <w:b/>
                <w:bCs/>
                <w:lang w:val="en-US"/>
              </w:rPr>
            </w:pPr>
            <w:r w:rsidRPr="00691911">
              <w:rPr>
                <w:rFonts w:ascii="Arial" w:hAnsi="Arial" w:cs="Arial"/>
                <w:b/>
                <w:bCs/>
                <w:lang w:val="en-US"/>
              </w:rPr>
              <w:t>Yes/ No/ NA</w:t>
            </w:r>
          </w:p>
        </w:tc>
        <w:tc>
          <w:tcPr>
            <w:tcW w:w="10490" w:type="dxa"/>
          </w:tcPr>
          <w:p w:rsidR="00CD096B" w:rsidRPr="00691911" w:rsidP="00C369F4" w14:paraId="4B9A39DB" w14:textId="77777777">
            <w:pPr>
              <w:jc w:val="center"/>
              <w:rPr>
                <w:rFonts w:ascii="Arial" w:hAnsi="Arial" w:cs="Arial"/>
                <w:b/>
                <w:bCs/>
                <w:lang w:val="en-US"/>
              </w:rPr>
            </w:pPr>
            <w:r w:rsidRPr="00691911">
              <w:rPr>
                <w:rFonts w:ascii="Arial" w:hAnsi="Arial" w:cs="Arial"/>
                <w:b/>
                <w:bCs/>
                <w:lang w:val="en-US"/>
              </w:rPr>
              <w:t>Evidence</w:t>
            </w:r>
          </w:p>
        </w:tc>
      </w:tr>
      <w:tr w14:paraId="4B9A39DE" w14:textId="77777777" w:rsidTr="00C369F4">
        <w:tblPrEx>
          <w:tblW w:w="14459" w:type="dxa"/>
          <w:tblInd w:w="-5" w:type="dxa"/>
          <w:tblLook w:val="04A0"/>
        </w:tblPrEx>
        <w:tc>
          <w:tcPr>
            <w:tcW w:w="14459" w:type="dxa"/>
            <w:gridSpan w:val="3"/>
            <w:shd w:val="clear" w:color="auto" w:fill="44546A" w:themeFill="text2"/>
          </w:tcPr>
          <w:p w:rsidR="00CD096B" w:rsidRPr="00691911" w:rsidP="00C369F4" w14:paraId="4B9A39DD" w14:textId="77777777">
            <w:pPr>
              <w:rPr>
                <w:rFonts w:ascii="Arial" w:hAnsi="Arial" w:cs="Arial"/>
                <w:b/>
                <w:bCs/>
                <w:color w:val="FFFFFF" w:themeColor="background1"/>
                <w:lang w:val="en-US"/>
              </w:rPr>
            </w:pPr>
            <w:r w:rsidRPr="00691911">
              <w:rPr>
                <w:rFonts w:ascii="Arial" w:hAnsi="Arial" w:cs="Arial"/>
                <w:b/>
                <w:bCs/>
                <w:color w:val="FFFFFF" w:themeColor="background1"/>
                <w:lang w:val="en-US"/>
              </w:rPr>
              <w:t xml:space="preserve">Must have </w:t>
            </w:r>
          </w:p>
        </w:tc>
      </w:tr>
      <w:tr w14:paraId="4B9A39E5" w14:textId="77777777" w:rsidTr="00C369F4">
        <w:tblPrEx>
          <w:tblW w:w="14459" w:type="dxa"/>
          <w:tblInd w:w="-5" w:type="dxa"/>
          <w:tblLook w:val="04A0"/>
        </w:tblPrEx>
        <w:tc>
          <w:tcPr>
            <w:tcW w:w="2977" w:type="dxa"/>
          </w:tcPr>
          <w:p w:rsidR="00CD096B" w:rsidRPr="00691911" w:rsidP="00C369F4" w14:paraId="4B9A39DF" w14:textId="77777777">
            <w:pPr>
              <w:rPr>
                <w:rFonts w:ascii="Arial" w:hAnsi="Arial" w:cs="Arial"/>
                <w:b/>
                <w:bCs/>
                <w:lang w:val="en-US"/>
              </w:rPr>
            </w:pPr>
            <w:r w:rsidRPr="00691911">
              <w:rPr>
                <w:rFonts w:ascii="Arial" w:hAnsi="Arial" w:cs="Arial"/>
                <w:lang w:val="en-US"/>
              </w:rPr>
              <w:t>Sharing the function will allow the councils to continue to deliver their sovereign priorities</w:t>
            </w:r>
          </w:p>
        </w:tc>
        <w:tc>
          <w:tcPr>
            <w:tcW w:w="992" w:type="dxa"/>
          </w:tcPr>
          <w:p w:rsidR="00CD096B" w:rsidRPr="00691911" w:rsidP="00C369F4" w14:paraId="4B9A39E0" w14:textId="77777777">
            <w:pPr>
              <w:rPr>
                <w:rFonts w:ascii="Arial" w:hAnsi="Arial" w:cs="Arial"/>
                <w:b/>
                <w:bCs/>
                <w:lang w:val="en-US"/>
              </w:rPr>
            </w:pPr>
            <w:r>
              <w:rPr>
                <w:rFonts w:ascii="Arial" w:hAnsi="Arial" w:cs="Arial"/>
                <w:b/>
                <w:bCs/>
                <w:lang w:val="en-US"/>
              </w:rPr>
              <w:t>Y</w:t>
            </w:r>
          </w:p>
        </w:tc>
        <w:tc>
          <w:tcPr>
            <w:tcW w:w="10490" w:type="dxa"/>
          </w:tcPr>
          <w:p w:rsidR="00CD096B" w:rsidRPr="00DB05AC" w:rsidP="00DB05AC" w14:paraId="4B9A39E1" w14:textId="77777777">
            <w:pPr>
              <w:rPr>
                <w:rFonts w:ascii="Arial" w:hAnsi="Arial" w:cs="Arial"/>
                <w:lang w:val="en-US"/>
              </w:rPr>
            </w:pPr>
            <w:r w:rsidRPr="00DB05AC">
              <w:rPr>
                <w:rFonts w:ascii="Arial" w:hAnsi="Arial" w:cs="Arial"/>
                <w:lang w:val="en-US"/>
              </w:rPr>
              <w:t xml:space="preserve">Both councils have similar priorities in relation to planning policy and have the Local Plan for Chorley, South Ribble and Preston. </w:t>
            </w:r>
          </w:p>
          <w:p w:rsidR="00DB05AC" w:rsidRPr="00DB05AC" w:rsidP="00DB05AC" w14:paraId="4B9A39E2" w14:textId="77777777">
            <w:pPr>
              <w:rPr>
                <w:rFonts w:ascii="Arial" w:hAnsi="Arial" w:cs="Arial"/>
                <w:lang w:val="en-US"/>
              </w:rPr>
            </w:pPr>
          </w:p>
          <w:p w:rsidR="00DB05AC" w:rsidRPr="00DB05AC" w:rsidP="00DB05AC" w14:paraId="4B9A39E3" w14:textId="77777777">
            <w:pPr>
              <w:rPr>
                <w:rFonts w:ascii="Arial" w:hAnsi="Arial" w:cs="Arial"/>
                <w:lang w:val="en-US"/>
              </w:rPr>
            </w:pPr>
            <w:r w:rsidRPr="00DB05AC">
              <w:rPr>
                <w:rFonts w:ascii="Arial" w:hAnsi="Arial" w:cs="Arial"/>
                <w:lang w:val="en-US"/>
              </w:rPr>
              <w:t xml:space="preserve">There could be some challenges for the sovereign councils if any conflict emerged e.g. in relation to housing numbers, and this would need to be managed through the Shared Services Agreement and service management. </w:t>
            </w:r>
          </w:p>
          <w:p w:rsidR="00DB05AC" w:rsidRPr="00691911" w:rsidP="00DB05AC" w14:paraId="4B9A39E4" w14:textId="77777777">
            <w:pPr>
              <w:rPr>
                <w:rFonts w:ascii="Arial" w:hAnsi="Arial" w:cs="Arial"/>
                <w:b/>
                <w:bCs/>
                <w:lang w:val="en-US"/>
              </w:rPr>
            </w:pPr>
            <w:r>
              <w:rPr>
                <w:rFonts w:ascii="Arial" w:hAnsi="Arial" w:cs="Arial"/>
                <w:b/>
                <w:bCs/>
                <w:lang w:val="en-US"/>
              </w:rPr>
              <w:t xml:space="preserve"> </w:t>
            </w:r>
          </w:p>
        </w:tc>
      </w:tr>
      <w:tr w14:paraId="4B9A39ED" w14:textId="77777777" w:rsidTr="00C369F4">
        <w:tblPrEx>
          <w:tblW w:w="14459" w:type="dxa"/>
          <w:tblInd w:w="-5" w:type="dxa"/>
          <w:tblLook w:val="04A0"/>
        </w:tblPrEx>
        <w:tc>
          <w:tcPr>
            <w:tcW w:w="2977" w:type="dxa"/>
          </w:tcPr>
          <w:p w:rsidR="00CD096B" w:rsidRPr="00691911" w:rsidP="00C369F4" w14:paraId="4B9A39E6" w14:textId="77777777">
            <w:pPr>
              <w:rPr>
                <w:rFonts w:ascii="Arial" w:hAnsi="Arial" w:cs="Arial"/>
                <w:lang w:val="en-US"/>
              </w:rPr>
            </w:pPr>
            <w:r w:rsidRPr="00691911">
              <w:rPr>
                <w:rFonts w:ascii="Arial" w:hAnsi="Arial" w:cs="Arial"/>
                <w:lang w:val="en-US"/>
              </w:rPr>
              <w:t>A single, shared model is possible for this function</w:t>
            </w:r>
          </w:p>
          <w:p w:rsidR="00CD096B" w:rsidRPr="00691911" w:rsidP="00C369F4" w14:paraId="4B9A39E7" w14:textId="77777777">
            <w:pPr>
              <w:rPr>
                <w:rFonts w:ascii="Arial" w:hAnsi="Arial" w:cs="Arial"/>
                <w:lang w:val="en-US"/>
              </w:rPr>
            </w:pPr>
          </w:p>
        </w:tc>
        <w:tc>
          <w:tcPr>
            <w:tcW w:w="992" w:type="dxa"/>
          </w:tcPr>
          <w:p w:rsidR="00CD096B" w:rsidRPr="00691911" w:rsidP="00C369F4" w14:paraId="4B9A39E8" w14:textId="77777777">
            <w:pPr>
              <w:rPr>
                <w:rFonts w:ascii="Arial" w:hAnsi="Arial" w:cs="Arial"/>
                <w:b/>
                <w:bCs/>
                <w:lang w:val="en-US"/>
              </w:rPr>
            </w:pPr>
            <w:r>
              <w:rPr>
                <w:rFonts w:ascii="Arial" w:hAnsi="Arial" w:cs="Arial"/>
                <w:b/>
                <w:bCs/>
                <w:lang w:val="en-US"/>
              </w:rPr>
              <w:t>Y</w:t>
            </w:r>
          </w:p>
        </w:tc>
        <w:tc>
          <w:tcPr>
            <w:tcW w:w="10490" w:type="dxa"/>
          </w:tcPr>
          <w:p w:rsidR="00CD096B" w:rsidRPr="00DB05AC" w:rsidP="00CD096B" w14:paraId="4B9A39E9" w14:textId="77777777">
            <w:pPr>
              <w:rPr>
                <w:rFonts w:ascii="Arial" w:hAnsi="Arial" w:cs="Arial"/>
                <w:lang w:val="en-US"/>
              </w:rPr>
            </w:pPr>
            <w:r w:rsidRPr="00DB05AC">
              <w:rPr>
                <w:rFonts w:ascii="Arial" w:hAnsi="Arial" w:cs="Arial"/>
                <w:lang w:val="en-US"/>
              </w:rPr>
              <w:t>The spatial planning/ planning policy teams are currently not shared but work closely together as part of the Local Plan for Chorley, South Ribble and Preston</w:t>
            </w:r>
            <w:r w:rsidR="00DB05AC">
              <w:rPr>
                <w:rFonts w:ascii="Arial" w:hAnsi="Arial" w:cs="Arial"/>
                <w:lang w:val="en-US"/>
              </w:rPr>
              <w:t xml:space="preserve"> and carry out similar work. </w:t>
            </w:r>
          </w:p>
          <w:p w:rsidR="00CD096B" w:rsidRPr="00DB05AC" w:rsidP="00CD096B" w14:paraId="4B9A39EA" w14:textId="77777777">
            <w:pPr>
              <w:rPr>
                <w:rFonts w:ascii="Arial" w:hAnsi="Arial" w:cs="Arial"/>
                <w:lang w:val="en-US"/>
              </w:rPr>
            </w:pPr>
          </w:p>
          <w:p w:rsidR="00CD096B" w:rsidRPr="00DB05AC" w:rsidP="00CD096B" w14:paraId="4B9A39EB" w14:textId="77777777">
            <w:pPr>
              <w:rPr>
                <w:rFonts w:ascii="Arial" w:hAnsi="Arial" w:cs="Arial"/>
              </w:rPr>
            </w:pPr>
            <w:r w:rsidRPr="00DB05AC">
              <w:rPr>
                <w:rFonts w:ascii="Arial" w:hAnsi="Arial" w:cs="Arial"/>
              </w:rPr>
              <w:t xml:space="preserve">The services are slightly different in scope </w:t>
            </w:r>
            <w:r w:rsidRPr="00DB05AC" w:rsidR="00DB05AC">
              <w:rPr>
                <w:rFonts w:ascii="Arial" w:hAnsi="Arial" w:cs="Arial"/>
              </w:rPr>
              <w:t xml:space="preserve">which should be considered in relation to a shared service. At Chorley the teams also </w:t>
            </w:r>
            <w:r w:rsidRPr="00DB05AC" w:rsidR="00DB05AC">
              <w:rPr>
                <w:rFonts w:ascii="Arial" w:hAnsi="Arial" w:cs="Arial"/>
              </w:rPr>
              <w:t>include</w:t>
            </w:r>
            <w:r w:rsidR="00DB05AC">
              <w:rPr>
                <w:rFonts w:ascii="Arial" w:hAnsi="Arial" w:cs="Arial"/>
              </w:rPr>
              <w:t>s</w:t>
            </w:r>
            <w:r w:rsidR="00DB05AC">
              <w:rPr>
                <w:rFonts w:ascii="Arial" w:hAnsi="Arial" w:cs="Arial"/>
              </w:rPr>
              <w:t xml:space="preserve"> </w:t>
            </w:r>
            <w:r w:rsidRPr="00DB05AC">
              <w:rPr>
                <w:rFonts w:ascii="Arial" w:hAnsi="Arial" w:cs="Arial"/>
              </w:rPr>
              <w:t>functions around climate change with the Climate Change Programme Officer</w:t>
            </w:r>
            <w:r w:rsidR="009B6255">
              <w:rPr>
                <w:rFonts w:ascii="Arial" w:hAnsi="Arial" w:cs="Arial"/>
              </w:rPr>
              <w:t xml:space="preserve"> and specific Open Space Strategy officers. </w:t>
            </w:r>
          </w:p>
          <w:p w:rsidR="00CD096B" w:rsidRPr="00691911" w:rsidP="00CD096B" w14:paraId="4B9A39EC" w14:textId="77777777">
            <w:pPr>
              <w:rPr>
                <w:rFonts w:ascii="Arial" w:hAnsi="Arial" w:cs="Arial"/>
                <w:b/>
                <w:bCs/>
                <w:lang w:val="en-US"/>
              </w:rPr>
            </w:pPr>
          </w:p>
        </w:tc>
      </w:tr>
      <w:tr w14:paraId="4B9A39F3" w14:textId="77777777" w:rsidTr="00C369F4">
        <w:tblPrEx>
          <w:tblW w:w="14459" w:type="dxa"/>
          <w:tblInd w:w="-5" w:type="dxa"/>
          <w:tblLook w:val="04A0"/>
        </w:tblPrEx>
        <w:tc>
          <w:tcPr>
            <w:tcW w:w="2977" w:type="dxa"/>
          </w:tcPr>
          <w:p w:rsidR="00CD096B" w:rsidRPr="00691911" w:rsidP="00C369F4" w14:paraId="4B9A39EE" w14:textId="77777777">
            <w:pPr>
              <w:rPr>
                <w:rFonts w:ascii="Arial" w:hAnsi="Arial" w:cs="Arial"/>
                <w:lang w:val="en-US"/>
              </w:rPr>
            </w:pPr>
            <w:r w:rsidRPr="00691911">
              <w:rPr>
                <w:rFonts w:ascii="Arial" w:hAnsi="Arial" w:cs="Arial"/>
                <w:lang w:val="en-US"/>
              </w:rPr>
              <w:t>There is a common need across both councils for this function/area.</w:t>
            </w:r>
          </w:p>
        </w:tc>
        <w:tc>
          <w:tcPr>
            <w:tcW w:w="992" w:type="dxa"/>
          </w:tcPr>
          <w:p w:rsidR="00CD096B" w:rsidRPr="00691911" w:rsidP="00C369F4" w14:paraId="4B9A39EF" w14:textId="77777777">
            <w:pPr>
              <w:rPr>
                <w:rFonts w:ascii="Arial" w:hAnsi="Arial" w:cs="Arial"/>
                <w:b/>
                <w:bCs/>
                <w:lang w:val="en-US"/>
              </w:rPr>
            </w:pPr>
            <w:r>
              <w:rPr>
                <w:rFonts w:ascii="Arial" w:hAnsi="Arial" w:cs="Arial"/>
                <w:b/>
                <w:bCs/>
                <w:lang w:val="en-US"/>
              </w:rPr>
              <w:t>Y</w:t>
            </w:r>
          </w:p>
        </w:tc>
        <w:tc>
          <w:tcPr>
            <w:tcW w:w="10490" w:type="dxa"/>
          </w:tcPr>
          <w:p w:rsidR="00CD096B" w:rsidRPr="00DB05AC" w:rsidP="00C369F4" w14:paraId="4B9A39F0" w14:textId="77777777">
            <w:pPr>
              <w:rPr>
                <w:rFonts w:ascii="Arial" w:hAnsi="Arial" w:cs="Arial"/>
                <w:lang w:val="en-US"/>
              </w:rPr>
            </w:pPr>
            <w:r w:rsidRPr="00DB05AC">
              <w:rPr>
                <w:rFonts w:ascii="Arial" w:hAnsi="Arial" w:cs="Arial"/>
                <w:lang w:val="en-US"/>
              </w:rPr>
              <w:t xml:space="preserve">Both councils require a spatial planning/ planning policy function to ensure a strategic approach to planning policy and support the development of the Local Plan. </w:t>
            </w:r>
          </w:p>
          <w:p w:rsidR="00CD096B" w:rsidRPr="00691911" w:rsidP="00C369F4" w14:paraId="4B9A39F1" w14:textId="77777777">
            <w:pPr>
              <w:rPr>
                <w:rFonts w:ascii="Arial" w:hAnsi="Arial" w:cs="Arial"/>
                <w:b/>
                <w:bCs/>
                <w:lang w:val="en-US"/>
              </w:rPr>
            </w:pPr>
          </w:p>
          <w:p w:rsidR="00CD096B" w:rsidRPr="00691911" w:rsidP="00C369F4" w14:paraId="4B9A39F2" w14:textId="77777777">
            <w:pPr>
              <w:rPr>
                <w:rFonts w:ascii="Arial" w:hAnsi="Arial" w:cs="Arial"/>
                <w:b/>
                <w:bCs/>
                <w:lang w:val="en-US"/>
              </w:rPr>
            </w:pPr>
          </w:p>
        </w:tc>
      </w:tr>
      <w:tr w14:paraId="4B9A39F5" w14:textId="77777777" w:rsidTr="00C369F4">
        <w:tblPrEx>
          <w:tblW w:w="14459" w:type="dxa"/>
          <w:tblInd w:w="-5" w:type="dxa"/>
          <w:tblLook w:val="04A0"/>
        </w:tblPrEx>
        <w:tc>
          <w:tcPr>
            <w:tcW w:w="14459" w:type="dxa"/>
            <w:gridSpan w:val="3"/>
            <w:shd w:val="clear" w:color="auto" w:fill="44546A" w:themeFill="text2"/>
          </w:tcPr>
          <w:p w:rsidR="00CD096B" w:rsidRPr="00691911" w:rsidP="00C369F4" w14:paraId="4B9A39F4" w14:textId="77777777">
            <w:pPr>
              <w:rPr>
                <w:rFonts w:ascii="Arial" w:hAnsi="Arial" w:cs="Arial"/>
                <w:b/>
                <w:bCs/>
                <w:color w:val="FFFFFF" w:themeColor="background1"/>
                <w:lang w:val="en-US"/>
              </w:rPr>
            </w:pPr>
            <w:r w:rsidRPr="00691911">
              <w:rPr>
                <w:rFonts w:ascii="Arial" w:hAnsi="Arial" w:cs="Arial"/>
                <w:b/>
                <w:bCs/>
                <w:color w:val="FFFFFF" w:themeColor="background1"/>
                <w:lang w:val="en-US"/>
              </w:rPr>
              <w:t xml:space="preserve">Opportunities for sharing </w:t>
            </w:r>
          </w:p>
        </w:tc>
      </w:tr>
      <w:tr w14:paraId="4B9A39FA" w14:textId="77777777" w:rsidTr="00C369F4">
        <w:tblPrEx>
          <w:tblW w:w="14459" w:type="dxa"/>
          <w:tblInd w:w="-5" w:type="dxa"/>
          <w:tblLook w:val="04A0"/>
        </w:tblPrEx>
        <w:tc>
          <w:tcPr>
            <w:tcW w:w="2977" w:type="dxa"/>
          </w:tcPr>
          <w:p w:rsidR="00CD096B" w:rsidRPr="00691911" w:rsidP="00C369F4" w14:paraId="4B9A39F6" w14:textId="77777777">
            <w:pPr>
              <w:rPr>
                <w:rFonts w:ascii="Arial" w:hAnsi="Arial" w:cs="Arial"/>
                <w:lang w:val="en-US"/>
              </w:rPr>
            </w:pPr>
            <w:r w:rsidRPr="00691911">
              <w:rPr>
                <w:rFonts w:ascii="Arial" w:hAnsi="Arial" w:cs="Arial"/>
                <w:lang w:val="en-US"/>
              </w:rPr>
              <w:t>Temporary, or informal, sharing arrangements already exist</w:t>
            </w:r>
          </w:p>
          <w:p w:rsidR="00CD096B" w:rsidRPr="00691911" w:rsidP="00C369F4" w14:paraId="4B9A39F7" w14:textId="77777777">
            <w:pPr>
              <w:rPr>
                <w:rFonts w:ascii="Arial" w:hAnsi="Arial" w:cs="Arial"/>
                <w:lang w:val="en-US"/>
              </w:rPr>
            </w:pPr>
          </w:p>
        </w:tc>
        <w:tc>
          <w:tcPr>
            <w:tcW w:w="992" w:type="dxa"/>
          </w:tcPr>
          <w:p w:rsidR="00CD096B" w:rsidRPr="00691911" w:rsidP="00C369F4" w14:paraId="4B9A39F8" w14:textId="77777777">
            <w:pPr>
              <w:rPr>
                <w:rFonts w:ascii="Arial" w:hAnsi="Arial" w:cs="Arial"/>
                <w:b/>
                <w:bCs/>
                <w:lang w:val="en-US"/>
              </w:rPr>
            </w:pPr>
            <w:r>
              <w:rPr>
                <w:rFonts w:ascii="Arial" w:hAnsi="Arial" w:cs="Arial"/>
                <w:b/>
                <w:bCs/>
                <w:lang w:val="en-US"/>
              </w:rPr>
              <w:t>N</w:t>
            </w:r>
          </w:p>
        </w:tc>
        <w:tc>
          <w:tcPr>
            <w:tcW w:w="10490" w:type="dxa"/>
          </w:tcPr>
          <w:p w:rsidR="00CD096B" w:rsidRPr="00DB05AC" w:rsidP="00DB05AC" w14:paraId="4B9A39F9" w14:textId="77777777">
            <w:pPr>
              <w:rPr>
                <w:rFonts w:ascii="Arial" w:hAnsi="Arial" w:cs="Arial"/>
                <w:b/>
                <w:bCs/>
                <w:lang w:val="en-US"/>
              </w:rPr>
            </w:pPr>
            <w:r w:rsidRPr="00DB05AC">
              <w:rPr>
                <w:rFonts w:ascii="Arial" w:hAnsi="Arial" w:cs="Arial"/>
                <w:lang w:val="en-US"/>
              </w:rPr>
              <w:t xml:space="preserve">There are not any current sharing arrangements in </w:t>
            </w:r>
            <w:r w:rsidRPr="00DB05AC">
              <w:rPr>
                <w:rFonts w:ascii="Arial" w:hAnsi="Arial" w:cs="Arial"/>
                <w:lang w:val="en-US"/>
              </w:rPr>
              <w:t>place</w:t>
            </w:r>
            <w:r w:rsidRPr="00DB05AC">
              <w:rPr>
                <w:rFonts w:ascii="Arial" w:hAnsi="Arial" w:cs="Arial"/>
                <w:lang w:val="en-US"/>
              </w:rPr>
              <w:t xml:space="preserve"> but the teams work closely together on the Local Plan. </w:t>
            </w:r>
          </w:p>
        </w:tc>
      </w:tr>
      <w:tr w14:paraId="4B9A39FE" w14:textId="77777777" w:rsidTr="00C369F4">
        <w:tblPrEx>
          <w:tblW w:w="14459" w:type="dxa"/>
          <w:tblInd w:w="-5" w:type="dxa"/>
          <w:tblLook w:val="04A0"/>
        </w:tblPrEx>
        <w:tc>
          <w:tcPr>
            <w:tcW w:w="2977" w:type="dxa"/>
          </w:tcPr>
          <w:p w:rsidR="00CD096B" w:rsidRPr="00691911" w:rsidP="00C369F4" w14:paraId="4B9A39FB" w14:textId="77777777">
            <w:pPr>
              <w:rPr>
                <w:rFonts w:ascii="Arial" w:hAnsi="Arial" w:cs="Arial"/>
                <w:lang w:val="en-US"/>
              </w:rPr>
            </w:pPr>
            <w:r w:rsidRPr="00691911">
              <w:rPr>
                <w:rFonts w:ascii="Arial" w:hAnsi="Arial" w:cs="Arial"/>
                <w:lang w:val="en-US"/>
              </w:rPr>
              <w:t xml:space="preserve">Capacity within the service can be reviewed to improve service resilience or produce financial savings </w:t>
            </w:r>
          </w:p>
        </w:tc>
        <w:tc>
          <w:tcPr>
            <w:tcW w:w="992" w:type="dxa"/>
          </w:tcPr>
          <w:p w:rsidR="00CD096B" w:rsidRPr="00691911" w:rsidP="00C369F4" w14:paraId="4B9A39FC" w14:textId="77777777">
            <w:pPr>
              <w:rPr>
                <w:rFonts w:ascii="Arial" w:hAnsi="Arial" w:cs="Arial"/>
                <w:b/>
                <w:bCs/>
                <w:lang w:val="en-US"/>
              </w:rPr>
            </w:pPr>
            <w:r>
              <w:rPr>
                <w:rFonts w:ascii="Arial" w:hAnsi="Arial" w:cs="Arial"/>
                <w:b/>
                <w:bCs/>
                <w:lang w:val="en-US"/>
              </w:rPr>
              <w:t>Y</w:t>
            </w:r>
          </w:p>
        </w:tc>
        <w:tc>
          <w:tcPr>
            <w:tcW w:w="10490" w:type="dxa"/>
          </w:tcPr>
          <w:p w:rsidR="00CD096B" w:rsidRPr="009B6255" w:rsidP="00DB05AC" w14:paraId="4B9A39FD" w14:textId="77777777">
            <w:pPr>
              <w:rPr>
                <w:rFonts w:ascii="Arial" w:hAnsi="Arial" w:cs="Arial"/>
                <w:b/>
                <w:bCs/>
                <w:lang w:val="en-US"/>
              </w:rPr>
            </w:pPr>
            <w:r w:rsidRPr="009B6255">
              <w:rPr>
                <w:rFonts w:ascii="Arial" w:hAnsi="Arial" w:cs="Arial"/>
                <w:lang w:val="en-US"/>
              </w:rPr>
              <w:t>There is the opportunity to review capacity in the service, although the structure and management capacity differs across the councils. There is currently a</w:t>
            </w:r>
            <w:r w:rsidR="009B6255">
              <w:rPr>
                <w:rFonts w:ascii="Arial" w:hAnsi="Arial" w:cs="Arial"/>
                <w:lang w:val="en-US"/>
              </w:rPr>
              <w:t xml:space="preserve"> separate</w:t>
            </w:r>
            <w:r w:rsidRPr="009B6255">
              <w:rPr>
                <w:rFonts w:ascii="Arial" w:hAnsi="Arial" w:cs="Arial"/>
                <w:lang w:val="en-US"/>
              </w:rPr>
              <w:t xml:space="preserve"> Service Lead for Spatial Planning in post at Chorley Council, whereas planning policy sits within the wider Planning service at South Ribble</w:t>
            </w:r>
            <w:r w:rsidRPr="009B6255" w:rsidR="00B12690">
              <w:rPr>
                <w:rFonts w:ascii="Arial" w:hAnsi="Arial" w:cs="Arial"/>
                <w:lang w:val="en-US"/>
              </w:rPr>
              <w:t xml:space="preserve">. </w:t>
            </w:r>
          </w:p>
        </w:tc>
      </w:tr>
      <w:tr w14:paraId="4B9A3A03" w14:textId="77777777" w:rsidTr="00C369F4">
        <w:tblPrEx>
          <w:tblW w:w="14459" w:type="dxa"/>
          <w:tblInd w:w="-5" w:type="dxa"/>
          <w:tblLook w:val="04A0"/>
        </w:tblPrEx>
        <w:tc>
          <w:tcPr>
            <w:tcW w:w="2977" w:type="dxa"/>
          </w:tcPr>
          <w:p w:rsidR="00CD096B" w:rsidRPr="00691911" w:rsidP="00C369F4" w14:paraId="4B9A39FF" w14:textId="77777777">
            <w:pPr>
              <w:rPr>
                <w:rFonts w:ascii="Arial" w:hAnsi="Arial" w:cs="Arial"/>
                <w:lang w:val="en-US"/>
              </w:rPr>
            </w:pPr>
            <w:r w:rsidRPr="00691911">
              <w:rPr>
                <w:rFonts w:ascii="Arial" w:hAnsi="Arial" w:cs="Arial"/>
                <w:lang w:val="en-US"/>
              </w:rPr>
              <w:t xml:space="preserve">There is the potential for improved staff recruitment or retention </w:t>
            </w:r>
          </w:p>
        </w:tc>
        <w:tc>
          <w:tcPr>
            <w:tcW w:w="992" w:type="dxa"/>
          </w:tcPr>
          <w:p w:rsidR="00CD096B" w:rsidRPr="00691911" w:rsidP="00C369F4" w14:paraId="4B9A3A00" w14:textId="77777777">
            <w:pPr>
              <w:rPr>
                <w:rFonts w:ascii="Arial" w:hAnsi="Arial" w:cs="Arial"/>
                <w:b/>
                <w:bCs/>
                <w:lang w:val="en-US"/>
              </w:rPr>
            </w:pPr>
            <w:r>
              <w:rPr>
                <w:rFonts w:ascii="Arial" w:hAnsi="Arial" w:cs="Arial"/>
                <w:b/>
                <w:bCs/>
                <w:lang w:val="en-US"/>
              </w:rPr>
              <w:t>Y</w:t>
            </w:r>
          </w:p>
        </w:tc>
        <w:tc>
          <w:tcPr>
            <w:tcW w:w="10490" w:type="dxa"/>
          </w:tcPr>
          <w:p w:rsidR="00CD096B" w:rsidRPr="00EC67EA" w:rsidP="00C369F4" w14:paraId="4B9A3A01" w14:textId="77777777">
            <w:pPr>
              <w:rPr>
                <w:rFonts w:ascii="Arial" w:hAnsi="Arial" w:cs="Arial"/>
                <w:i/>
                <w:iCs/>
                <w:highlight w:val="yellow"/>
                <w:lang w:val="en-US"/>
              </w:rPr>
            </w:pPr>
            <w:r w:rsidRPr="00EC67EA">
              <w:rPr>
                <w:rFonts w:ascii="Arial" w:hAnsi="Arial" w:cs="Arial"/>
              </w:rPr>
              <w:t>Recruiting to planning policy officer posts is a challenge, as has been seen in the Central Lancashire Local Plan team. As with Environmental Health, through the council’s People Strategy, there may be opportunities to create training and succession planning opportunities jointly.</w:t>
            </w:r>
          </w:p>
          <w:p w:rsidR="00CD096B" w:rsidRPr="00B12690" w:rsidP="00C369F4" w14:paraId="4B9A3A02" w14:textId="77777777">
            <w:pPr>
              <w:rPr>
                <w:rFonts w:ascii="Arial" w:hAnsi="Arial" w:cs="Arial"/>
                <w:i/>
                <w:iCs/>
                <w:highlight w:val="yellow"/>
                <w:lang w:val="en-US"/>
              </w:rPr>
            </w:pPr>
          </w:p>
        </w:tc>
      </w:tr>
      <w:tr w14:paraId="4B9A3A07" w14:textId="77777777" w:rsidTr="00C369F4">
        <w:tblPrEx>
          <w:tblW w:w="14459" w:type="dxa"/>
          <w:tblInd w:w="-5" w:type="dxa"/>
          <w:tblLook w:val="04A0"/>
        </w:tblPrEx>
        <w:tc>
          <w:tcPr>
            <w:tcW w:w="2977" w:type="dxa"/>
          </w:tcPr>
          <w:p w:rsidR="00CD096B" w:rsidRPr="00641110" w:rsidP="00C369F4" w14:paraId="4B9A3A04" w14:textId="77777777">
            <w:pPr>
              <w:rPr>
                <w:rFonts w:ascii="Arial" w:hAnsi="Arial" w:cs="Arial"/>
                <w:lang w:val="en-US"/>
              </w:rPr>
            </w:pPr>
            <w:r w:rsidRPr="00641110">
              <w:rPr>
                <w:rFonts w:ascii="Arial" w:hAnsi="Arial" w:cs="Arial"/>
                <w:lang w:val="en-US"/>
              </w:rPr>
              <w:t xml:space="preserve">There are opportunities to align systems or processes to create a more efficient or effective service </w:t>
            </w:r>
          </w:p>
        </w:tc>
        <w:tc>
          <w:tcPr>
            <w:tcW w:w="992" w:type="dxa"/>
          </w:tcPr>
          <w:p w:rsidR="00CD096B" w:rsidRPr="00641110" w:rsidP="00C369F4" w14:paraId="4B9A3A05" w14:textId="77777777">
            <w:pPr>
              <w:rPr>
                <w:rFonts w:ascii="Arial" w:hAnsi="Arial" w:cs="Arial"/>
                <w:b/>
                <w:bCs/>
                <w:lang w:val="en-US"/>
              </w:rPr>
            </w:pPr>
            <w:r w:rsidRPr="00641110">
              <w:rPr>
                <w:rFonts w:ascii="Arial" w:hAnsi="Arial" w:cs="Arial"/>
                <w:b/>
                <w:bCs/>
                <w:lang w:val="en-US"/>
              </w:rPr>
              <w:t>Y</w:t>
            </w:r>
          </w:p>
        </w:tc>
        <w:tc>
          <w:tcPr>
            <w:tcW w:w="10490" w:type="dxa"/>
          </w:tcPr>
          <w:p w:rsidR="00CD096B" w:rsidRPr="00641110" w:rsidP="00C369F4" w14:paraId="4B9A3A06" w14:textId="77777777">
            <w:pPr>
              <w:rPr>
                <w:rFonts w:ascii="Arial" w:hAnsi="Arial" w:cs="Arial"/>
                <w:lang w:val="en-US"/>
              </w:rPr>
            </w:pPr>
            <w:r w:rsidRPr="00641110">
              <w:rPr>
                <w:rFonts w:ascii="Arial" w:hAnsi="Arial" w:cs="Arial"/>
                <w:i/>
                <w:iCs/>
                <w:lang w:val="en-US"/>
              </w:rPr>
              <w:t xml:space="preserve"> </w:t>
            </w:r>
            <w:r w:rsidRPr="00641110" w:rsidR="00641110">
              <w:rPr>
                <w:rFonts w:ascii="Arial" w:hAnsi="Arial" w:cs="Arial"/>
                <w:lang w:val="en-US"/>
              </w:rPr>
              <w:t xml:space="preserve">There is the opportunity to review best practice across the organisations and align processes within the scope of the Local Plan. </w:t>
            </w:r>
          </w:p>
        </w:tc>
      </w:tr>
    </w:tbl>
    <w:p w:rsidR="00EC67EA" w14:paraId="4B9A3A08" w14:textId="77777777"/>
    <w:p w:rsidR="00280D11" w14:paraId="4B9A3A09" w14:textId="16BBD6AF"/>
    <w:p w:rsidR="00280D11" w14:paraId="4B9A3A0A" w14:textId="77777777"/>
    <w:p w:rsidR="00DB6AF7" w14:paraId="4B9A3A0B" w14:textId="77777777"/>
    <w:p w:rsidR="00DB6AF7" w14:paraId="4B9A3A0C" w14:textId="77777777"/>
    <w:p w:rsidR="00DB6AF7" w14:paraId="4B9A3A0D" w14:textId="77777777"/>
    <w:p w:rsidR="00DB6AF7" w14:paraId="4B9A3A0E" w14:textId="77777777"/>
    <w:p w:rsidR="00DB6AF7" w14:paraId="4B9A3A0F" w14:textId="77777777"/>
    <w:p w:rsidR="00DB6AF7" w14:paraId="4B9A3A10" w14:textId="77777777"/>
    <w:p w:rsidR="00DB6AF7" w14:paraId="4B9A3A11" w14:textId="77777777"/>
    <w:p w:rsidR="00DB6AF7" w14:paraId="4B9A3A12" w14:textId="77777777"/>
    <w:p w:rsidR="00DB6AF7" w14:paraId="4B9A3A13" w14:textId="77777777"/>
    <w:p w:rsidR="00DB6AF7" w14:paraId="4B9A3A14" w14:textId="77777777"/>
    <w:p w:rsidR="00A444FE" w14:paraId="4B9A3A15" w14:textId="77777777"/>
    <w:sectPr w:rsidSect="00A45E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0A6DA8"/>
    <w:multiLevelType w:val="hybridMultilevel"/>
    <w:tmpl w:val="4D507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A6B7BFB"/>
    <w:multiLevelType w:val="hybridMultilevel"/>
    <w:tmpl w:val="3B3CD0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845768"/>
    <w:multiLevelType w:val="hybridMultilevel"/>
    <w:tmpl w:val="089249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BB27FD4"/>
    <w:multiLevelType w:val="hybridMultilevel"/>
    <w:tmpl w:val="7E96B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44415C"/>
    <w:multiLevelType w:val="hybridMultilevel"/>
    <w:tmpl w:val="458C82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D9"/>
    <w:rsid w:val="00040ACF"/>
    <w:rsid w:val="000B1C42"/>
    <w:rsid w:val="001357BF"/>
    <w:rsid w:val="00171CF4"/>
    <w:rsid w:val="0018394C"/>
    <w:rsid w:val="001956A8"/>
    <w:rsid w:val="001D1EC6"/>
    <w:rsid w:val="001D4F7C"/>
    <w:rsid w:val="001F7A85"/>
    <w:rsid w:val="00215161"/>
    <w:rsid w:val="00253271"/>
    <w:rsid w:val="00270FF5"/>
    <w:rsid w:val="00280D11"/>
    <w:rsid w:val="0028620D"/>
    <w:rsid w:val="002A086E"/>
    <w:rsid w:val="002A780A"/>
    <w:rsid w:val="002B495E"/>
    <w:rsid w:val="0030041A"/>
    <w:rsid w:val="00304A91"/>
    <w:rsid w:val="00305616"/>
    <w:rsid w:val="00347F4B"/>
    <w:rsid w:val="003A179E"/>
    <w:rsid w:val="003B3101"/>
    <w:rsid w:val="004B2D3B"/>
    <w:rsid w:val="004C7097"/>
    <w:rsid w:val="004E2FC6"/>
    <w:rsid w:val="004F5956"/>
    <w:rsid w:val="00527A41"/>
    <w:rsid w:val="0062594E"/>
    <w:rsid w:val="00637F9D"/>
    <w:rsid w:val="00641110"/>
    <w:rsid w:val="00691911"/>
    <w:rsid w:val="00692FAA"/>
    <w:rsid w:val="006A6B95"/>
    <w:rsid w:val="006B2CC4"/>
    <w:rsid w:val="006E7371"/>
    <w:rsid w:val="006F6F98"/>
    <w:rsid w:val="00740248"/>
    <w:rsid w:val="00780D3B"/>
    <w:rsid w:val="007B7752"/>
    <w:rsid w:val="007C47D6"/>
    <w:rsid w:val="00804BBD"/>
    <w:rsid w:val="00855C68"/>
    <w:rsid w:val="00866938"/>
    <w:rsid w:val="008D0EB3"/>
    <w:rsid w:val="0095729F"/>
    <w:rsid w:val="009B6255"/>
    <w:rsid w:val="00A05103"/>
    <w:rsid w:val="00A17F7E"/>
    <w:rsid w:val="00A444FE"/>
    <w:rsid w:val="00A45ED9"/>
    <w:rsid w:val="00A66973"/>
    <w:rsid w:val="00A670CB"/>
    <w:rsid w:val="00A716D5"/>
    <w:rsid w:val="00A95EB1"/>
    <w:rsid w:val="00AE0412"/>
    <w:rsid w:val="00B12690"/>
    <w:rsid w:val="00B22771"/>
    <w:rsid w:val="00B54F7E"/>
    <w:rsid w:val="00C369F4"/>
    <w:rsid w:val="00C539A8"/>
    <w:rsid w:val="00C85321"/>
    <w:rsid w:val="00CD096B"/>
    <w:rsid w:val="00D257B3"/>
    <w:rsid w:val="00D8556C"/>
    <w:rsid w:val="00D93944"/>
    <w:rsid w:val="00DB05AC"/>
    <w:rsid w:val="00DB6AF7"/>
    <w:rsid w:val="00E27423"/>
    <w:rsid w:val="00E278E6"/>
    <w:rsid w:val="00E32F9E"/>
    <w:rsid w:val="00EB4F97"/>
    <w:rsid w:val="00EC67EA"/>
    <w:rsid w:val="00EF3D29"/>
    <w:rsid w:val="00F27C9C"/>
    <w:rsid w:val="00F5509D"/>
    <w:rsid w:val="00F579E5"/>
    <w:rsid w:val="00FE390F"/>
    <w:rsid w:val="00FF6878"/>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C6E11894-6AC6-4854-B267-5797C92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9D"/>
    <w:rPr>
      <w:rFonts w:ascii="Segoe UI" w:hAnsi="Segoe UI" w:cs="Segoe UI"/>
      <w:sz w:val="18"/>
      <w:szCs w:val="18"/>
    </w:rPr>
  </w:style>
  <w:style w:type="table" w:customStyle="1" w:styleId="TableGrid1">
    <w:name w:val="Table Grid1"/>
    <w:basedOn w:val="TableNormal"/>
    <w:next w:val="TableGrid"/>
    <w:uiPriority w:val="39"/>
    <w:rsid w:val="00FE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96B"/>
    <w:pPr>
      <w:ind w:left="720"/>
      <w:contextualSpacing/>
    </w:pPr>
  </w:style>
  <w:style w:type="character" w:styleId="CommentReference">
    <w:name w:val="annotation reference"/>
    <w:basedOn w:val="DefaultParagraphFont"/>
    <w:uiPriority w:val="99"/>
    <w:semiHidden/>
    <w:unhideWhenUsed/>
    <w:rsid w:val="000B1C42"/>
    <w:rPr>
      <w:sz w:val="16"/>
      <w:szCs w:val="16"/>
    </w:rPr>
  </w:style>
  <w:style w:type="paragraph" w:styleId="CommentText">
    <w:name w:val="annotation text"/>
    <w:basedOn w:val="Normal"/>
    <w:link w:val="CommentTextChar"/>
    <w:uiPriority w:val="99"/>
    <w:semiHidden/>
    <w:unhideWhenUsed/>
    <w:rsid w:val="000B1C42"/>
    <w:pPr>
      <w:spacing w:line="240" w:lineRule="auto"/>
    </w:pPr>
    <w:rPr>
      <w:sz w:val="20"/>
      <w:szCs w:val="20"/>
    </w:rPr>
  </w:style>
  <w:style w:type="character" w:customStyle="1" w:styleId="CommentTextChar">
    <w:name w:val="Comment Text Char"/>
    <w:basedOn w:val="DefaultParagraphFont"/>
    <w:link w:val="CommentText"/>
    <w:uiPriority w:val="99"/>
    <w:semiHidden/>
    <w:rsid w:val="000B1C42"/>
    <w:rPr>
      <w:sz w:val="20"/>
      <w:szCs w:val="20"/>
    </w:rPr>
  </w:style>
  <w:style w:type="paragraph" w:styleId="CommentSubject">
    <w:name w:val="annotation subject"/>
    <w:basedOn w:val="CommentText"/>
    <w:next w:val="CommentText"/>
    <w:link w:val="CommentSubjectChar"/>
    <w:uiPriority w:val="99"/>
    <w:semiHidden/>
    <w:unhideWhenUsed/>
    <w:rsid w:val="000B1C42"/>
    <w:rPr>
      <w:b/>
      <w:bCs/>
    </w:rPr>
  </w:style>
  <w:style w:type="character" w:customStyle="1" w:styleId="CommentSubjectChar">
    <w:name w:val="Comment Subject Char"/>
    <w:basedOn w:val="CommentTextChar"/>
    <w:link w:val="CommentSubject"/>
    <w:uiPriority w:val="99"/>
    <w:semiHidden/>
    <w:rsid w:val="000B1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Winstanley</dc:creator>
  <cp:lastModifiedBy>Caroline Winstanley</cp:lastModifiedBy>
  <cp:revision>3</cp:revision>
  <dcterms:created xsi:type="dcterms:W3CDTF">2022-06-20T10:21:00Z</dcterms:created>
  <dcterms:modified xsi:type="dcterms:W3CDTF">2022-06-28T10:43:00Z</dcterms:modified>
</cp:coreProperties>
</file>